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E32A7" w14:textId="082726D6" w:rsidR="00DB4B23" w:rsidRDefault="004106C4" w:rsidP="00102DA7">
      <w:pPr>
        <w:jc w:val="right"/>
        <w:rPr>
          <w:sz w:val="22"/>
        </w:rPr>
      </w:pPr>
      <w:r>
        <w:rPr>
          <w:noProof/>
          <w:lang w:eastAsia="en-GB"/>
        </w:rPr>
        <w:drawing>
          <wp:inline distT="0" distB="0" distL="0" distR="0" wp14:anchorId="0C32A4E1" wp14:editId="0DEBF94C">
            <wp:extent cx="1055370" cy="105537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SLA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DFE"/>
                        </a:clrFrom>
                        <a:clrTo>
                          <a:srgbClr val="FFFD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A1AEA" w14:textId="41F722F7" w:rsidR="00202A03" w:rsidRPr="00A826B5" w:rsidRDefault="00A826B5" w:rsidP="00A826B5">
      <w:pPr>
        <w:jc w:val="right"/>
        <w:rPr>
          <w:sz w:val="22"/>
        </w:rPr>
      </w:pPr>
      <w:r>
        <w:rPr>
          <w:sz w:val="18"/>
        </w:rPr>
        <w:t>Leaders Item 04</w:t>
      </w:r>
    </w:p>
    <w:p w14:paraId="4BC772BA" w14:textId="77777777" w:rsidR="00B351FF" w:rsidRDefault="00B351FF" w:rsidP="00AF101F">
      <w:pPr>
        <w:jc w:val="center"/>
        <w:rPr>
          <w:b/>
          <w:u w:val="single"/>
        </w:rPr>
      </w:pPr>
    </w:p>
    <w:p w14:paraId="3D891CD1" w14:textId="77777777" w:rsidR="00B61BC2" w:rsidRDefault="00B61BC2" w:rsidP="00AF101F">
      <w:pPr>
        <w:jc w:val="center"/>
        <w:rPr>
          <w:b/>
          <w:u w:val="single"/>
        </w:rPr>
      </w:pPr>
      <w:r>
        <w:rPr>
          <w:b/>
          <w:u w:val="single"/>
        </w:rPr>
        <w:t>Private and Confidential</w:t>
      </w:r>
    </w:p>
    <w:p w14:paraId="50235032" w14:textId="77777777" w:rsidR="00657B0D" w:rsidRDefault="00657B0D" w:rsidP="00AF101F">
      <w:pPr>
        <w:jc w:val="center"/>
        <w:rPr>
          <w:b/>
          <w:u w:val="single"/>
        </w:rPr>
      </w:pPr>
    </w:p>
    <w:p w14:paraId="75C878EF" w14:textId="7E3BAE91" w:rsidR="00B61BC2" w:rsidRDefault="00B61BC2" w:rsidP="00AF101F">
      <w:pPr>
        <w:jc w:val="center"/>
        <w:rPr>
          <w:b/>
          <w:u w:val="single"/>
        </w:rPr>
      </w:pPr>
      <w:r>
        <w:rPr>
          <w:b/>
          <w:u w:val="single"/>
        </w:rPr>
        <w:t>Brexit Preparedness:</w:t>
      </w:r>
      <w:r w:rsidR="00226BAB">
        <w:rPr>
          <w:b/>
          <w:u w:val="single"/>
        </w:rPr>
        <w:t xml:space="preserve"> </w:t>
      </w:r>
      <w:r>
        <w:rPr>
          <w:b/>
          <w:u w:val="single"/>
        </w:rPr>
        <w:t xml:space="preserve"> Impact Assessment of Local Government Workforce</w:t>
      </w:r>
    </w:p>
    <w:p w14:paraId="26D462CF" w14:textId="77777777" w:rsidR="00F635CE" w:rsidRPr="00E151C4" w:rsidRDefault="00F635CE" w:rsidP="00AF101F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7479C" w:rsidRPr="0037479C" w14:paraId="1AE34FD9" w14:textId="77777777" w:rsidTr="00603DCC">
        <w:tc>
          <w:tcPr>
            <w:tcW w:w="9242" w:type="dxa"/>
            <w:shd w:val="clear" w:color="auto" w:fill="auto"/>
          </w:tcPr>
          <w:p w14:paraId="3CDF6DF3" w14:textId="77777777" w:rsidR="00B351FF" w:rsidRDefault="0037479C" w:rsidP="0037479C">
            <w:pPr>
              <w:spacing w:line="259" w:lineRule="auto"/>
              <w:rPr>
                <w:rFonts w:eastAsia="Calibri" w:cs="Arial"/>
                <w:b/>
                <w:szCs w:val="23"/>
              </w:rPr>
            </w:pPr>
            <w:r w:rsidRPr="0037479C">
              <w:rPr>
                <w:rFonts w:eastAsia="Calibri" w:cs="Arial"/>
                <w:b/>
                <w:szCs w:val="23"/>
              </w:rPr>
              <w:t>Summary and Recommendations</w:t>
            </w:r>
          </w:p>
          <w:p w14:paraId="6289D971" w14:textId="0E1EB10E" w:rsidR="00040A96" w:rsidRPr="00A5783F" w:rsidRDefault="00286D5E" w:rsidP="00A5783F">
            <w:pPr>
              <w:spacing w:line="259" w:lineRule="auto"/>
              <w:rPr>
                <w:rFonts w:eastAsia="Calibri" w:cs="Arial"/>
                <w:b/>
                <w:szCs w:val="23"/>
              </w:rPr>
            </w:pPr>
            <w:r>
              <w:rPr>
                <w:rFonts w:cs="Arial"/>
                <w:color w:val="000000"/>
                <w:szCs w:val="23"/>
              </w:rPr>
              <w:t xml:space="preserve">COSLA has </w:t>
            </w:r>
            <w:r w:rsidR="00A5783F">
              <w:rPr>
                <w:rFonts w:cs="Arial"/>
                <w:color w:val="000000"/>
                <w:szCs w:val="23"/>
              </w:rPr>
              <w:t>carried out a s</w:t>
            </w:r>
            <w:r>
              <w:rPr>
                <w:rFonts w:cs="Arial"/>
                <w:color w:val="000000"/>
                <w:szCs w:val="23"/>
              </w:rPr>
              <w:t>urvey</w:t>
            </w:r>
            <w:r w:rsidR="00291912">
              <w:rPr>
                <w:rFonts w:cs="Arial"/>
                <w:color w:val="000000"/>
                <w:szCs w:val="23"/>
              </w:rPr>
              <w:t xml:space="preserve"> of councils</w:t>
            </w:r>
            <w:r w:rsidR="002E7625">
              <w:rPr>
                <w:rFonts w:cs="Arial"/>
                <w:color w:val="000000"/>
                <w:szCs w:val="23"/>
              </w:rPr>
              <w:t xml:space="preserve"> </w:t>
            </w:r>
            <w:r w:rsidR="00E24CF7">
              <w:rPr>
                <w:rFonts w:cs="Arial"/>
                <w:color w:val="000000"/>
                <w:szCs w:val="23"/>
              </w:rPr>
              <w:t xml:space="preserve">on the size of the </w:t>
            </w:r>
            <w:r>
              <w:rPr>
                <w:rFonts w:cs="Arial"/>
                <w:color w:val="000000"/>
                <w:szCs w:val="23"/>
              </w:rPr>
              <w:t>non-UK EU/EEA</w:t>
            </w:r>
            <w:r w:rsidR="00E24CF7">
              <w:rPr>
                <w:rFonts w:cs="Arial"/>
                <w:color w:val="000000"/>
                <w:szCs w:val="23"/>
              </w:rPr>
              <w:t xml:space="preserve"> workforce</w:t>
            </w:r>
            <w:r>
              <w:rPr>
                <w:rFonts w:cs="Arial"/>
                <w:color w:val="000000"/>
                <w:szCs w:val="23"/>
              </w:rPr>
              <w:t xml:space="preserve"> employed</w:t>
            </w:r>
            <w:r w:rsidR="00A5783F">
              <w:rPr>
                <w:rFonts w:cs="Arial"/>
                <w:color w:val="000000"/>
                <w:szCs w:val="23"/>
              </w:rPr>
              <w:t xml:space="preserve"> in Scottish Local</w:t>
            </w:r>
            <w:r>
              <w:rPr>
                <w:rFonts w:cs="Arial"/>
                <w:color w:val="000000"/>
                <w:szCs w:val="23"/>
              </w:rPr>
              <w:t xml:space="preserve"> Government</w:t>
            </w:r>
            <w:r w:rsidR="00A5783F">
              <w:rPr>
                <w:rFonts w:cs="Arial"/>
                <w:color w:val="000000"/>
                <w:szCs w:val="23"/>
              </w:rPr>
              <w:t xml:space="preserve">. </w:t>
            </w:r>
            <w:r w:rsidR="00A72A49">
              <w:rPr>
                <w:rFonts w:cs="Arial"/>
                <w:color w:val="000000"/>
                <w:szCs w:val="23"/>
              </w:rPr>
              <w:t xml:space="preserve"> </w:t>
            </w:r>
            <w:r w:rsidR="001B0209">
              <w:rPr>
                <w:rFonts w:cs="Arial"/>
                <w:color w:val="000000"/>
                <w:szCs w:val="23"/>
              </w:rPr>
              <w:t>We have collated responses</w:t>
            </w:r>
            <w:r w:rsidR="00AB34D9">
              <w:rPr>
                <w:rFonts w:cs="Arial"/>
                <w:color w:val="000000"/>
                <w:szCs w:val="23"/>
              </w:rPr>
              <w:t xml:space="preserve"> so far</w:t>
            </w:r>
            <w:r>
              <w:rPr>
                <w:rFonts w:cs="Arial"/>
                <w:color w:val="000000"/>
                <w:szCs w:val="23"/>
              </w:rPr>
              <w:t xml:space="preserve"> from 28</w:t>
            </w:r>
            <w:r w:rsidR="001B0209">
              <w:rPr>
                <w:rFonts w:cs="Arial"/>
                <w:color w:val="000000"/>
                <w:szCs w:val="23"/>
              </w:rPr>
              <w:t xml:space="preserve"> councils</w:t>
            </w:r>
            <w:r>
              <w:rPr>
                <w:rFonts w:cs="Arial"/>
                <w:color w:val="000000"/>
                <w:szCs w:val="23"/>
              </w:rPr>
              <w:t xml:space="preserve"> and interim findings are included in this report. </w:t>
            </w:r>
            <w:r w:rsidR="00A72A49">
              <w:rPr>
                <w:rFonts w:cs="Arial"/>
                <w:color w:val="000000"/>
                <w:szCs w:val="23"/>
              </w:rPr>
              <w:t xml:space="preserve"> </w:t>
            </w:r>
            <w:r w:rsidR="00A5783F">
              <w:rPr>
                <w:rFonts w:cs="Arial"/>
                <w:color w:val="000000"/>
                <w:szCs w:val="23"/>
              </w:rPr>
              <w:t xml:space="preserve">The survey results will help us </w:t>
            </w:r>
            <w:r w:rsidR="00291912">
              <w:rPr>
                <w:rFonts w:cs="Arial"/>
                <w:color w:val="000000"/>
                <w:szCs w:val="23"/>
              </w:rPr>
              <w:t xml:space="preserve">to </w:t>
            </w:r>
            <w:r w:rsidR="00A5783F" w:rsidRPr="00B61BC2">
              <w:rPr>
                <w:rFonts w:cs="Arial"/>
                <w:color w:val="000000"/>
                <w:szCs w:val="23"/>
              </w:rPr>
              <w:t xml:space="preserve">understand the total number of </w:t>
            </w:r>
            <w:r w:rsidR="00A5783F">
              <w:rPr>
                <w:rFonts w:cs="Arial"/>
                <w:color w:val="000000"/>
                <w:szCs w:val="23"/>
              </w:rPr>
              <w:t xml:space="preserve">non-UK </w:t>
            </w:r>
            <w:r w:rsidR="00A5783F" w:rsidRPr="00B61BC2">
              <w:rPr>
                <w:rFonts w:cs="Arial"/>
                <w:color w:val="000000"/>
                <w:szCs w:val="23"/>
              </w:rPr>
              <w:t xml:space="preserve">EU/EEA nationals employed by each </w:t>
            </w:r>
            <w:r w:rsidR="001E1DBB">
              <w:rPr>
                <w:rFonts w:cs="Arial"/>
                <w:color w:val="000000"/>
                <w:szCs w:val="23"/>
              </w:rPr>
              <w:t>council</w:t>
            </w:r>
            <w:r w:rsidR="00A5783F" w:rsidRPr="00B61BC2">
              <w:rPr>
                <w:rFonts w:cs="Arial"/>
                <w:color w:val="000000"/>
                <w:szCs w:val="23"/>
              </w:rPr>
              <w:t xml:space="preserve"> </w:t>
            </w:r>
            <w:r>
              <w:rPr>
                <w:rFonts w:cs="Arial"/>
                <w:color w:val="000000"/>
                <w:szCs w:val="23"/>
              </w:rPr>
              <w:t xml:space="preserve">and </w:t>
            </w:r>
            <w:r w:rsidR="00A5783F" w:rsidRPr="00B61BC2">
              <w:rPr>
                <w:rFonts w:cs="Arial"/>
                <w:color w:val="000000"/>
                <w:szCs w:val="23"/>
              </w:rPr>
              <w:t xml:space="preserve">who will potentially be affected by the ongoing Brexit negotiations.  </w:t>
            </w:r>
            <w:r w:rsidR="002B5D55">
              <w:t xml:space="preserve">The report aims to </w:t>
            </w:r>
            <w:r w:rsidR="00D81DE8">
              <w:t>stimulate</w:t>
            </w:r>
            <w:r w:rsidR="002B5D55">
              <w:t xml:space="preserve"> </w:t>
            </w:r>
            <w:r w:rsidR="00D81DE8">
              <w:t>discussion</w:t>
            </w:r>
            <w:r w:rsidR="002B5D55">
              <w:t xml:space="preserve"> on </w:t>
            </w:r>
            <w:r w:rsidR="00D81DE8">
              <w:t>the</w:t>
            </w:r>
            <w:r w:rsidR="002B5D55">
              <w:t xml:space="preserve"> </w:t>
            </w:r>
            <w:r w:rsidR="00D81DE8">
              <w:t xml:space="preserve">level of </w:t>
            </w:r>
            <w:r w:rsidR="002B5D55">
              <w:t xml:space="preserve">data we need to gather and collate to better understand and prepare for the </w:t>
            </w:r>
            <w:r w:rsidR="00F8713B">
              <w:t>likely impact of Brexit on the Local G</w:t>
            </w:r>
            <w:r w:rsidR="002B5D55">
              <w:t xml:space="preserve">overnment workforce. </w:t>
            </w:r>
          </w:p>
          <w:p w14:paraId="5D67BFE8" w14:textId="77777777" w:rsidR="0037479C" w:rsidRPr="0037479C" w:rsidRDefault="0037479C" w:rsidP="0037479C">
            <w:pPr>
              <w:spacing w:line="259" w:lineRule="auto"/>
              <w:rPr>
                <w:rFonts w:eastAsia="Calibri" w:cs="Arial"/>
                <w:szCs w:val="23"/>
              </w:rPr>
            </w:pPr>
          </w:p>
          <w:p w14:paraId="703A0AC9" w14:textId="77777777" w:rsidR="002B5D55" w:rsidRDefault="00286D5E" w:rsidP="002B5D55">
            <w:pPr>
              <w:spacing w:line="259" w:lineRule="auto"/>
              <w:rPr>
                <w:rFonts w:eastAsia="Calibri" w:cs="Arial"/>
                <w:szCs w:val="23"/>
              </w:rPr>
            </w:pPr>
            <w:r>
              <w:rPr>
                <w:rFonts w:eastAsia="Calibri" w:cs="Arial"/>
                <w:szCs w:val="23"/>
              </w:rPr>
              <w:t>This paper invites Leaders</w:t>
            </w:r>
            <w:r w:rsidR="0037479C" w:rsidRPr="0037479C">
              <w:rPr>
                <w:rFonts w:eastAsia="Calibri" w:cs="Arial"/>
                <w:szCs w:val="23"/>
              </w:rPr>
              <w:t xml:space="preserve"> to:</w:t>
            </w:r>
          </w:p>
          <w:p w14:paraId="7DBCA33F" w14:textId="77777777" w:rsidR="002B5D55" w:rsidRPr="002B5D55" w:rsidRDefault="002B5D55" w:rsidP="002B5D55">
            <w:pPr>
              <w:spacing w:line="259" w:lineRule="auto"/>
              <w:rPr>
                <w:rFonts w:eastAsia="Calibri" w:cs="Arial"/>
                <w:szCs w:val="23"/>
              </w:rPr>
            </w:pPr>
            <w:r>
              <w:t xml:space="preserve"> </w:t>
            </w:r>
          </w:p>
          <w:p w14:paraId="48CFAD2F" w14:textId="0937CDDE" w:rsidR="002B5D55" w:rsidRDefault="00D81DE8" w:rsidP="002B5D55">
            <w:pPr>
              <w:pStyle w:val="ListNumber"/>
              <w:numPr>
                <w:ilvl w:val="0"/>
                <w:numId w:val="10"/>
              </w:numPr>
            </w:pPr>
            <w:r>
              <w:t>Note</w:t>
            </w:r>
            <w:r w:rsidR="002B5D55">
              <w:t xml:space="preserve"> the interim findings from the Brexit workforce survey; </w:t>
            </w:r>
          </w:p>
          <w:p w14:paraId="6233C34E" w14:textId="223D4F1A" w:rsidR="002B5D55" w:rsidRDefault="002B5D55" w:rsidP="002B5D55">
            <w:pPr>
              <w:pStyle w:val="ListNumber"/>
              <w:numPr>
                <w:ilvl w:val="0"/>
                <w:numId w:val="10"/>
              </w:numPr>
            </w:pPr>
            <w:r>
              <w:t>Discuss what information we need and can access to better prepare for the likely impact of Brexit on</w:t>
            </w:r>
            <w:r w:rsidR="0020431F">
              <w:t xml:space="preserve"> the</w:t>
            </w:r>
            <w:r w:rsidR="00F8713B">
              <w:t xml:space="preserve"> Local Government workforce; and</w:t>
            </w:r>
          </w:p>
          <w:p w14:paraId="76D8825D" w14:textId="33F5A6FE" w:rsidR="002B5D55" w:rsidRDefault="002B5D55" w:rsidP="002B5D55">
            <w:pPr>
              <w:pStyle w:val="ListNumber"/>
              <w:numPr>
                <w:ilvl w:val="0"/>
                <w:numId w:val="10"/>
              </w:numPr>
            </w:pPr>
            <w:r>
              <w:t xml:space="preserve">Agree </w:t>
            </w:r>
            <w:r w:rsidR="0020431F">
              <w:t>that</w:t>
            </w:r>
            <w:r>
              <w:t xml:space="preserve"> their council</w:t>
            </w:r>
            <w:r w:rsidR="0020431F">
              <w:t xml:space="preserve">s </w:t>
            </w:r>
            <w:r w:rsidR="00F8713B">
              <w:t>be invited to</w:t>
            </w:r>
            <w:r>
              <w:t xml:space="preserve"> carry out further work to expand and refine </w:t>
            </w:r>
            <w:r w:rsidR="004263E6">
              <w:t xml:space="preserve">the </w:t>
            </w:r>
            <w:r>
              <w:t xml:space="preserve">information </w:t>
            </w:r>
            <w:r w:rsidR="00360DFB">
              <w:t xml:space="preserve">required </w:t>
            </w:r>
            <w:r>
              <w:t xml:space="preserve">on our </w:t>
            </w:r>
            <w:r w:rsidR="004263E6">
              <w:rPr>
                <w:rFonts w:cs="Arial"/>
                <w:color w:val="000000"/>
                <w:szCs w:val="23"/>
              </w:rPr>
              <w:t xml:space="preserve">non-UK </w:t>
            </w:r>
            <w:r w:rsidR="004263E6" w:rsidRPr="00B61BC2">
              <w:rPr>
                <w:rFonts w:cs="Arial"/>
                <w:color w:val="000000"/>
                <w:szCs w:val="23"/>
              </w:rPr>
              <w:t xml:space="preserve">EU/EEA </w:t>
            </w:r>
            <w:r>
              <w:t xml:space="preserve">workforce. </w:t>
            </w:r>
          </w:p>
          <w:p w14:paraId="6B0E33BA" w14:textId="77777777" w:rsidR="00B36EB3" w:rsidRPr="002B5D55" w:rsidRDefault="00B36EB3" w:rsidP="002B5D55">
            <w:pPr>
              <w:tabs>
                <w:tab w:val="left" w:pos="1134"/>
              </w:tabs>
              <w:spacing w:before="60"/>
              <w:rPr>
                <w:rFonts w:cs="Arial"/>
                <w:szCs w:val="23"/>
              </w:rPr>
            </w:pPr>
          </w:p>
        </w:tc>
      </w:tr>
    </w:tbl>
    <w:p w14:paraId="1D7AF341" w14:textId="77777777" w:rsidR="0037479C" w:rsidRPr="0037479C" w:rsidRDefault="0037479C" w:rsidP="00AF101F">
      <w:pPr>
        <w:spacing w:line="259" w:lineRule="auto"/>
        <w:rPr>
          <w:rFonts w:eastAsia="Calibri" w:cs="Arial"/>
          <w:b/>
          <w:szCs w:val="23"/>
        </w:rPr>
      </w:pPr>
    </w:p>
    <w:tbl>
      <w:tblPr>
        <w:tblpPr w:leftFromText="180" w:rightFromText="180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7479C" w:rsidRPr="0037479C" w14:paraId="0B7F8009" w14:textId="77777777" w:rsidTr="00603DCC">
        <w:tc>
          <w:tcPr>
            <w:tcW w:w="9242" w:type="dxa"/>
            <w:shd w:val="clear" w:color="auto" w:fill="auto"/>
          </w:tcPr>
          <w:p w14:paraId="10D2B9AA" w14:textId="77777777" w:rsidR="0037479C" w:rsidRPr="0037479C" w:rsidRDefault="0037479C" w:rsidP="0037479C">
            <w:pPr>
              <w:spacing w:line="259" w:lineRule="auto"/>
              <w:rPr>
                <w:rFonts w:eastAsia="Calibri" w:cs="Arial"/>
                <w:b/>
                <w:szCs w:val="23"/>
              </w:rPr>
            </w:pPr>
            <w:r w:rsidRPr="0037479C">
              <w:rPr>
                <w:rFonts w:eastAsia="Calibri" w:cs="Arial"/>
                <w:b/>
                <w:szCs w:val="23"/>
              </w:rPr>
              <w:t>References</w:t>
            </w:r>
          </w:p>
          <w:p w14:paraId="7F29794F" w14:textId="77777777" w:rsidR="0037479C" w:rsidRPr="0037479C" w:rsidRDefault="0037479C" w:rsidP="0037479C">
            <w:pPr>
              <w:spacing w:line="259" w:lineRule="auto"/>
              <w:rPr>
                <w:rFonts w:eastAsia="Calibri" w:cs="Arial"/>
                <w:b/>
                <w:szCs w:val="23"/>
              </w:rPr>
            </w:pPr>
            <w:r w:rsidRPr="0037479C">
              <w:rPr>
                <w:rFonts w:eastAsia="Calibri" w:cs="Arial"/>
                <w:szCs w:val="23"/>
              </w:rPr>
              <w:t>Previous reports on [topic]</w:t>
            </w:r>
            <w:r w:rsidRPr="0037479C">
              <w:rPr>
                <w:rFonts w:eastAsia="Calibri" w:cs="Arial"/>
                <w:b/>
                <w:szCs w:val="23"/>
              </w:rPr>
              <w:t>:</w:t>
            </w:r>
          </w:p>
          <w:p w14:paraId="751FC1A2" w14:textId="77777777" w:rsidR="007C4D60" w:rsidRPr="007C4D60" w:rsidRDefault="00A5783F" w:rsidP="007C4D60">
            <w:pPr>
              <w:pStyle w:val="ListParagraph"/>
              <w:numPr>
                <w:ilvl w:val="0"/>
                <w:numId w:val="9"/>
              </w:numPr>
              <w:tabs>
                <w:tab w:val="clear" w:pos="1440"/>
                <w:tab w:val="left" w:pos="1134"/>
              </w:tabs>
              <w:spacing w:before="60"/>
              <w:ind w:left="1134" w:hanging="567"/>
              <w:rPr>
                <w:rFonts w:eastAsia="Calibri" w:cs="Arial"/>
                <w:szCs w:val="23"/>
              </w:rPr>
            </w:pPr>
            <w:r>
              <w:rPr>
                <w:rFonts w:eastAsia="Calibri" w:cs="Arial"/>
                <w:szCs w:val="23"/>
              </w:rPr>
              <w:t xml:space="preserve">COSLA Leaders August 2018 – EU Settlement Scheme </w:t>
            </w:r>
          </w:p>
          <w:p w14:paraId="5E546075" w14:textId="77777777" w:rsidR="007C4D60" w:rsidRDefault="00A5783F" w:rsidP="00B36EB3">
            <w:pPr>
              <w:pStyle w:val="ListParagraph"/>
              <w:numPr>
                <w:ilvl w:val="0"/>
                <w:numId w:val="9"/>
              </w:numPr>
              <w:tabs>
                <w:tab w:val="clear" w:pos="1440"/>
                <w:tab w:val="left" w:pos="1134"/>
              </w:tabs>
              <w:spacing w:before="60"/>
              <w:ind w:left="1134" w:hanging="567"/>
              <w:rPr>
                <w:rFonts w:eastAsia="Calibri" w:cs="Arial"/>
                <w:szCs w:val="23"/>
              </w:rPr>
            </w:pPr>
            <w:r>
              <w:rPr>
                <w:rFonts w:eastAsia="Calibri" w:cs="Arial"/>
                <w:szCs w:val="23"/>
              </w:rPr>
              <w:t>CWB Board May 2018 – Brexit: EU Settlement Process and Engagement with EU Citizens</w:t>
            </w:r>
          </w:p>
          <w:p w14:paraId="6605450A" w14:textId="77777777" w:rsidR="00A5783F" w:rsidRDefault="00A5783F" w:rsidP="00B36EB3">
            <w:pPr>
              <w:pStyle w:val="ListParagraph"/>
              <w:numPr>
                <w:ilvl w:val="0"/>
                <w:numId w:val="9"/>
              </w:numPr>
              <w:tabs>
                <w:tab w:val="clear" w:pos="1440"/>
                <w:tab w:val="left" w:pos="1134"/>
              </w:tabs>
              <w:spacing w:before="60"/>
              <w:ind w:left="1134" w:hanging="567"/>
              <w:rPr>
                <w:rFonts w:eastAsia="Calibri" w:cs="Arial"/>
                <w:szCs w:val="23"/>
              </w:rPr>
            </w:pPr>
            <w:r>
              <w:rPr>
                <w:rFonts w:eastAsia="Calibri" w:cs="Arial"/>
                <w:szCs w:val="23"/>
              </w:rPr>
              <w:t>COSLA Leaders May 2018 – Brexit update</w:t>
            </w:r>
          </w:p>
          <w:p w14:paraId="733676FB" w14:textId="77777777" w:rsidR="00A5783F" w:rsidRPr="00B36EB3" w:rsidRDefault="00A5783F" w:rsidP="00B36EB3">
            <w:pPr>
              <w:pStyle w:val="ListParagraph"/>
              <w:numPr>
                <w:ilvl w:val="0"/>
                <w:numId w:val="9"/>
              </w:numPr>
              <w:tabs>
                <w:tab w:val="clear" w:pos="1440"/>
                <w:tab w:val="left" w:pos="1134"/>
              </w:tabs>
              <w:spacing w:before="60"/>
              <w:ind w:left="1134" w:hanging="567"/>
              <w:rPr>
                <w:rFonts w:eastAsia="Calibri" w:cs="Arial"/>
                <w:szCs w:val="23"/>
              </w:rPr>
            </w:pPr>
            <w:r>
              <w:rPr>
                <w:rFonts w:eastAsia="Calibri" w:cs="Arial"/>
                <w:szCs w:val="23"/>
              </w:rPr>
              <w:t xml:space="preserve">COSLA Leaders November 2017 – Migration Policy: Brexit Implications </w:t>
            </w:r>
          </w:p>
        </w:tc>
      </w:tr>
    </w:tbl>
    <w:p w14:paraId="355F8EB2" w14:textId="77777777" w:rsidR="00DB4B23" w:rsidRDefault="00DB4B23" w:rsidP="00AF101F">
      <w:pPr>
        <w:pStyle w:val="Heading2"/>
        <w:jc w:val="left"/>
      </w:pPr>
    </w:p>
    <w:p w14:paraId="2DF209B3" w14:textId="77777777" w:rsidR="00DB4B23" w:rsidRDefault="00DB4B23"/>
    <w:p w14:paraId="396AD2FF" w14:textId="77777777" w:rsidR="000F5EE9" w:rsidRDefault="000F5EE9" w:rsidP="00AF101F">
      <w:pPr>
        <w:jc w:val="right"/>
      </w:pPr>
    </w:p>
    <w:p w14:paraId="522D589A" w14:textId="77777777" w:rsidR="000F5EE9" w:rsidRDefault="000F5EE9" w:rsidP="000F5EE9"/>
    <w:p w14:paraId="30ACEF3A" w14:textId="77777777" w:rsidR="000F5EE9" w:rsidRDefault="000F5EE9" w:rsidP="000F5EE9"/>
    <w:p w14:paraId="75625165" w14:textId="77777777" w:rsidR="00B61BC2" w:rsidRDefault="00A5783F" w:rsidP="00B61BC2">
      <w:pPr>
        <w:rPr>
          <w:b/>
        </w:rPr>
      </w:pPr>
      <w:r>
        <w:rPr>
          <w:b/>
        </w:rPr>
        <w:t>Lorraine Cook</w:t>
      </w:r>
    </w:p>
    <w:p w14:paraId="57D97AEA" w14:textId="77777777" w:rsidR="00A5783F" w:rsidRDefault="00A5783F" w:rsidP="00B61BC2">
      <w:pPr>
        <w:rPr>
          <w:b/>
        </w:rPr>
      </w:pPr>
      <w:r>
        <w:rPr>
          <w:b/>
        </w:rPr>
        <w:t xml:space="preserve">Policy Manager </w:t>
      </w:r>
    </w:p>
    <w:p w14:paraId="4D4D3A26" w14:textId="77777777" w:rsidR="00A5783F" w:rsidRDefault="000A3AEB" w:rsidP="00B61BC2">
      <w:pPr>
        <w:rPr>
          <w:b/>
        </w:rPr>
      </w:pPr>
      <w:hyperlink r:id="rId13" w:history="1">
        <w:r w:rsidR="00A5783F" w:rsidRPr="00902279">
          <w:rPr>
            <w:rStyle w:val="Hyperlink"/>
            <w:b/>
          </w:rPr>
          <w:t>lorraine@cosla.gov.uk</w:t>
        </w:r>
      </w:hyperlink>
    </w:p>
    <w:p w14:paraId="26BCA729" w14:textId="77777777" w:rsidR="00A5783F" w:rsidRDefault="00A5783F" w:rsidP="00B61BC2">
      <w:pPr>
        <w:rPr>
          <w:b/>
        </w:rPr>
      </w:pPr>
      <w:r>
        <w:rPr>
          <w:b/>
        </w:rPr>
        <w:t>0131 474 9243</w:t>
      </w:r>
    </w:p>
    <w:p w14:paraId="2E65A431" w14:textId="77777777" w:rsidR="00B61BC2" w:rsidRDefault="00B61BC2" w:rsidP="00B61BC2">
      <w:pPr>
        <w:rPr>
          <w:b/>
        </w:rPr>
      </w:pPr>
    </w:p>
    <w:p w14:paraId="33A043E1" w14:textId="4CC780EC" w:rsidR="00B61BC2" w:rsidRPr="00B61BC2" w:rsidRDefault="00682DB3" w:rsidP="00B61BC2">
      <w:pPr>
        <w:jc w:val="right"/>
        <w:rPr>
          <w:b/>
        </w:rPr>
      </w:pPr>
      <w:r>
        <w:rPr>
          <w:b/>
        </w:rPr>
        <w:t>O</w:t>
      </w:r>
      <w:r w:rsidR="00B61BC2">
        <w:rPr>
          <w:b/>
        </w:rPr>
        <w:t>ctober 2018</w:t>
      </w:r>
    </w:p>
    <w:p w14:paraId="2658D10D" w14:textId="77777777" w:rsidR="000F5EE9" w:rsidRDefault="000F5EE9" w:rsidP="000F5EE9"/>
    <w:p w14:paraId="3858B00C" w14:textId="77777777" w:rsidR="000F5EE9" w:rsidRDefault="000F5EE9" w:rsidP="00286D5E">
      <w:pPr>
        <w:ind w:right="460"/>
      </w:pPr>
    </w:p>
    <w:p w14:paraId="3D668B69" w14:textId="410547E7" w:rsidR="00AF101F" w:rsidRDefault="00AF101F" w:rsidP="00AF101F">
      <w:pPr>
        <w:jc w:val="right"/>
      </w:pPr>
      <w:r>
        <w:rPr>
          <w:noProof/>
          <w:lang w:eastAsia="en-GB"/>
        </w:rPr>
        <w:lastRenderedPageBreak/>
        <w:drawing>
          <wp:inline distT="0" distB="0" distL="0" distR="0" wp14:anchorId="30C79CDF" wp14:editId="74D9DCB1">
            <wp:extent cx="1176020" cy="1176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SLA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DFE"/>
                        </a:clrFrom>
                        <a:clrTo>
                          <a:srgbClr val="FFFD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45186" w14:textId="65C5F0F0" w:rsidR="00A826B5" w:rsidRDefault="00A826B5" w:rsidP="00AF101F">
      <w:pPr>
        <w:jc w:val="right"/>
      </w:pPr>
      <w:r>
        <w:rPr>
          <w:sz w:val="18"/>
        </w:rPr>
        <w:t>Leaders Item 04</w:t>
      </w:r>
    </w:p>
    <w:p w14:paraId="21FF06D3" w14:textId="77777777" w:rsidR="00B351FF" w:rsidRDefault="00B351FF" w:rsidP="00AF101F">
      <w:pPr>
        <w:jc w:val="center"/>
        <w:rPr>
          <w:b/>
          <w:u w:val="single"/>
        </w:rPr>
      </w:pPr>
    </w:p>
    <w:p w14:paraId="4FB591A9" w14:textId="77777777" w:rsidR="005B48ED" w:rsidRDefault="00B61BC2" w:rsidP="00AF101F">
      <w:pPr>
        <w:jc w:val="center"/>
        <w:rPr>
          <w:b/>
          <w:u w:val="single"/>
        </w:rPr>
      </w:pPr>
      <w:r>
        <w:rPr>
          <w:b/>
          <w:u w:val="single"/>
        </w:rPr>
        <w:t>Brexit Pre</w:t>
      </w:r>
      <w:r w:rsidR="008E647A">
        <w:rPr>
          <w:b/>
          <w:u w:val="single"/>
        </w:rPr>
        <w:t xml:space="preserve">paredness: </w:t>
      </w:r>
      <w:r>
        <w:rPr>
          <w:b/>
          <w:u w:val="single"/>
        </w:rPr>
        <w:t>Local Government Workforce</w:t>
      </w:r>
    </w:p>
    <w:p w14:paraId="03A1E567" w14:textId="77777777" w:rsidR="00040A96" w:rsidRDefault="00040A96" w:rsidP="00E71D12">
      <w:pPr>
        <w:rPr>
          <w:b/>
          <w:u w:val="single"/>
        </w:rPr>
      </w:pPr>
    </w:p>
    <w:p w14:paraId="74EA4E32" w14:textId="77777777" w:rsidR="00DB4B23" w:rsidRDefault="000E6763">
      <w:pPr>
        <w:pStyle w:val="Heading1"/>
        <w:jc w:val="both"/>
      </w:pPr>
      <w:r>
        <w:t>Purpose</w:t>
      </w:r>
    </w:p>
    <w:p w14:paraId="5BC6D3B1" w14:textId="7671FAC3" w:rsidR="00B61BC2" w:rsidRPr="00B61BC2" w:rsidRDefault="00B61BC2" w:rsidP="00B61BC2">
      <w:pPr>
        <w:pStyle w:val="ListNumber"/>
        <w:spacing w:before="240"/>
        <w:rPr>
          <w:rFonts w:cs="Arial"/>
        </w:rPr>
      </w:pPr>
      <w:r w:rsidRPr="00B61BC2">
        <w:rPr>
          <w:rFonts w:cs="Arial"/>
        </w:rPr>
        <w:t>COSLA, in collaboration with City of Edinburgh</w:t>
      </w:r>
      <w:r w:rsidR="002557E4">
        <w:rPr>
          <w:rFonts w:cs="Arial"/>
        </w:rPr>
        <w:t xml:space="preserve"> Council</w:t>
      </w:r>
      <w:r w:rsidRPr="00B61BC2">
        <w:rPr>
          <w:rFonts w:cs="Arial"/>
        </w:rPr>
        <w:t xml:space="preserve"> and the Society of Personnel and Development</w:t>
      </w:r>
      <w:r w:rsidR="00783C02">
        <w:rPr>
          <w:rFonts w:cs="Arial"/>
        </w:rPr>
        <w:t xml:space="preserve"> </w:t>
      </w:r>
      <w:r w:rsidR="00070377">
        <w:rPr>
          <w:rFonts w:cs="Arial"/>
        </w:rPr>
        <w:t xml:space="preserve">Scotland </w:t>
      </w:r>
      <w:r w:rsidR="00783C02">
        <w:rPr>
          <w:rFonts w:cs="Arial"/>
        </w:rPr>
        <w:t>(SPDS), ha</w:t>
      </w:r>
      <w:r w:rsidR="00492A51">
        <w:rPr>
          <w:rFonts w:cs="Arial"/>
        </w:rPr>
        <w:t>s</w:t>
      </w:r>
      <w:r w:rsidR="00783C02">
        <w:rPr>
          <w:rFonts w:cs="Arial"/>
        </w:rPr>
        <w:t xml:space="preserve"> been working on </w:t>
      </w:r>
      <w:r w:rsidRPr="00B61BC2">
        <w:rPr>
          <w:rFonts w:cs="Arial"/>
        </w:rPr>
        <w:t xml:space="preserve">an impact assessment on </w:t>
      </w:r>
      <w:r w:rsidR="00070377">
        <w:rPr>
          <w:rFonts w:cs="Arial"/>
        </w:rPr>
        <w:t xml:space="preserve">the </w:t>
      </w:r>
      <w:r w:rsidRPr="00B61BC2">
        <w:rPr>
          <w:rFonts w:cs="Arial"/>
        </w:rPr>
        <w:t>Scottish Local Government workforce</w:t>
      </w:r>
      <w:r w:rsidR="00070377">
        <w:rPr>
          <w:rFonts w:cs="Arial"/>
        </w:rPr>
        <w:t xml:space="preserve"> in the light of Brexit</w:t>
      </w:r>
      <w:r w:rsidRPr="00B61BC2">
        <w:rPr>
          <w:rFonts w:cs="Arial"/>
        </w:rPr>
        <w:t xml:space="preserve">.  </w:t>
      </w:r>
    </w:p>
    <w:p w14:paraId="75B40D22" w14:textId="1D516112" w:rsidR="00783C02" w:rsidRPr="00783C02" w:rsidRDefault="00783C02" w:rsidP="00783C02">
      <w:pPr>
        <w:pStyle w:val="ListNumber"/>
        <w:spacing w:before="240"/>
      </w:pPr>
      <w:r w:rsidRPr="00783C02">
        <w:rPr>
          <w:rFonts w:cs="Arial"/>
          <w:color w:val="000000"/>
          <w:szCs w:val="23"/>
        </w:rPr>
        <w:t xml:space="preserve">We sent a survey out to </w:t>
      </w:r>
      <w:r w:rsidR="00286D5E">
        <w:rPr>
          <w:rFonts w:cs="Arial"/>
          <w:color w:val="000000"/>
          <w:szCs w:val="23"/>
        </w:rPr>
        <w:t xml:space="preserve">councils </w:t>
      </w:r>
      <w:r w:rsidRPr="00783C02">
        <w:rPr>
          <w:rFonts w:cs="Arial"/>
          <w:color w:val="000000"/>
          <w:szCs w:val="23"/>
        </w:rPr>
        <w:t xml:space="preserve">over the summer and </w:t>
      </w:r>
      <w:r>
        <w:t xml:space="preserve">have received 28 complete and interim responses.  COSLA has collated these responses from </w:t>
      </w:r>
      <w:r w:rsidR="00E552DA">
        <w:t>councils</w:t>
      </w:r>
      <w:r>
        <w:t xml:space="preserve"> and produced interim findings</w:t>
      </w:r>
      <w:r w:rsidR="008D4651">
        <w:t xml:space="preserve"> which</w:t>
      </w:r>
      <w:r w:rsidR="00920C61">
        <w:t xml:space="preserve"> are summarised in the table in Appendix 1.</w:t>
      </w:r>
    </w:p>
    <w:p w14:paraId="322D9C4A" w14:textId="37C01ACD" w:rsidR="005A359A" w:rsidRPr="005A359A" w:rsidRDefault="00B61BC2" w:rsidP="00A5783F">
      <w:pPr>
        <w:pStyle w:val="ListNumber"/>
        <w:spacing w:before="240"/>
        <w:rPr>
          <w:rFonts w:cs="Arial"/>
        </w:rPr>
      </w:pPr>
      <w:r w:rsidRPr="00B61BC2">
        <w:rPr>
          <w:rFonts w:cs="Arial"/>
          <w:color w:val="000000"/>
          <w:szCs w:val="23"/>
        </w:rPr>
        <w:t xml:space="preserve">The purpose of collecting this data is to understand the total number of </w:t>
      </w:r>
      <w:r w:rsidR="00E552DA">
        <w:rPr>
          <w:rFonts w:cs="Arial"/>
          <w:color w:val="000000"/>
          <w:szCs w:val="23"/>
        </w:rPr>
        <w:t xml:space="preserve">non-UK </w:t>
      </w:r>
      <w:r w:rsidRPr="00B61BC2">
        <w:rPr>
          <w:rFonts w:cs="Arial"/>
          <w:color w:val="000000"/>
          <w:szCs w:val="23"/>
        </w:rPr>
        <w:t xml:space="preserve">EU/EEA nationals employed by each </w:t>
      </w:r>
      <w:r w:rsidR="001E1DBB">
        <w:rPr>
          <w:rFonts w:cs="Arial"/>
          <w:color w:val="000000"/>
          <w:szCs w:val="23"/>
        </w:rPr>
        <w:t>council</w:t>
      </w:r>
      <w:r w:rsidR="008D4651">
        <w:rPr>
          <w:rFonts w:cs="Arial"/>
          <w:color w:val="000000"/>
          <w:szCs w:val="23"/>
        </w:rPr>
        <w:t>,</w:t>
      </w:r>
      <w:r w:rsidRPr="00B61BC2">
        <w:rPr>
          <w:rFonts w:cs="Arial"/>
          <w:color w:val="000000"/>
          <w:szCs w:val="23"/>
        </w:rPr>
        <w:t xml:space="preserve"> and the types of roles </w:t>
      </w:r>
      <w:r w:rsidR="008D4651">
        <w:rPr>
          <w:rFonts w:cs="Arial"/>
          <w:color w:val="000000"/>
          <w:szCs w:val="23"/>
        </w:rPr>
        <w:t xml:space="preserve">that </w:t>
      </w:r>
      <w:r w:rsidRPr="00B61BC2">
        <w:rPr>
          <w:rFonts w:cs="Arial"/>
          <w:color w:val="000000"/>
          <w:szCs w:val="23"/>
        </w:rPr>
        <w:t xml:space="preserve">they undertake.  </w:t>
      </w:r>
      <w:r w:rsidR="00E00082">
        <w:rPr>
          <w:rFonts w:cs="Arial"/>
          <w:color w:val="000000"/>
          <w:szCs w:val="23"/>
        </w:rPr>
        <w:t>This</w:t>
      </w:r>
      <w:r w:rsidRPr="00B61BC2">
        <w:rPr>
          <w:rFonts w:cs="Arial"/>
          <w:color w:val="000000"/>
          <w:szCs w:val="23"/>
        </w:rPr>
        <w:t xml:space="preserve"> will provide a collective view of the likely impact of Brexit on </w:t>
      </w:r>
      <w:r w:rsidR="005A359A">
        <w:rPr>
          <w:rFonts w:cs="Arial"/>
          <w:color w:val="000000"/>
          <w:szCs w:val="23"/>
        </w:rPr>
        <w:t xml:space="preserve">the </w:t>
      </w:r>
      <w:r w:rsidRPr="00B61BC2">
        <w:rPr>
          <w:rFonts w:cs="Arial"/>
          <w:color w:val="000000"/>
          <w:szCs w:val="23"/>
        </w:rPr>
        <w:t xml:space="preserve">Scottish </w:t>
      </w:r>
      <w:r w:rsidR="005A359A">
        <w:rPr>
          <w:rFonts w:cs="Arial"/>
          <w:color w:val="000000"/>
          <w:szCs w:val="23"/>
        </w:rPr>
        <w:t>L</w:t>
      </w:r>
      <w:r w:rsidRPr="00B61BC2">
        <w:rPr>
          <w:rFonts w:cs="Arial"/>
          <w:color w:val="000000"/>
          <w:szCs w:val="23"/>
        </w:rPr>
        <w:t xml:space="preserve">ocal </w:t>
      </w:r>
      <w:r w:rsidR="005A359A">
        <w:rPr>
          <w:rFonts w:cs="Arial"/>
          <w:color w:val="000000"/>
          <w:szCs w:val="23"/>
        </w:rPr>
        <w:t>G</w:t>
      </w:r>
      <w:r w:rsidRPr="00B61BC2">
        <w:rPr>
          <w:rFonts w:cs="Arial"/>
          <w:color w:val="000000"/>
          <w:szCs w:val="23"/>
        </w:rPr>
        <w:t xml:space="preserve">overnment workforce.  It will also be invaluable if </w:t>
      </w:r>
      <w:r w:rsidR="00E552DA">
        <w:rPr>
          <w:rFonts w:cs="Arial"/>
          <w:color w:val="000000"/>
          <w:szCs w:val="23"/>
        </w:rPr>
        <w:t>councils</w:t>
      </w:r>
      <w:r w:rsidRPr="00B61BC2">
        <w:rPr>
          <w:rFonts w:cs="Arial"/>
          <w:color w:val="000000"/>
          <w:szCs w:val="23"/>
        </w:rPr>
        <w:t xml:space="preserve"> have a clear idea of their </w:t>
      </w:r>
      <w:r w:rsidR="00E552DA">
        <w:rPr>
          <w:rFonts w:cs="Arial"/>
          <w:color w:val="000000"/>
          <w:szCs w:val="23"/>
        </w:rPr>
        <w:t xml:space="preserve">non-UK </w:t>
      </w:r>
      <w:r w:rsidRPr="00B61BC2">
        <w:rPr>
          <w:rFonts w:cs="Arial"/>
          <w:color w:val="000000"/>
          <w:szCs w:val="23"/>
        </w:rPr>
        <w:t>EU</w:t>
      </w:r>
      <w:r w:rsidR="00E552DA">
        <w:rPr>
          <w:rFonts w:cs="Arial"/>
          <w:color w:val="000000"/>
          <w:szCs w:val="23"/>
        </w:rPr>
        <w:t>/EEA</w:t>
      </w:r>
      <w:r w:rsidRPr="00B61BC2">
        <w:rPr>
          <w:rStyle w:val="apple-converted-space"/>
          <w:rFonts w:cs="Arial"/>
          <w:color w:val="000000"/>
          <w:szCs w:val="23"/>
        </w:rPr>
        <w:t> </w:t>
      </w:r>
      <w:r w:rsidRPr="00B61BC2">
        <w:rPr>
          <w:rFonts w:cs="Arial"/>
          <w:color w:val="000000"/>
          <w:szCs w:val="23"/>
        </w:rPr>
        <w:t>workforce</w:t>
      </w:r>
      <w:r w:rsidR="00F8713B">
        <w:rPr>
          <w:rStyle w:val="apple-converted-space"/>
          <w:rFonts w:cs="Arial"/>
          <w:color w:val="000000"/>
          <w:szCs w:val="23"/>
        </w:rPr>
        <w:t xml:space="preserve"> </w:t>
      </w:r>
      <w:r w:rsidRPr="00B61BC2">
        <w:rPr>
          <w:rFonts w:cs="Arial"/>
          <w:color w:val="000000"/>
          <w:szCs w:val="23"/>
        </w:rPr>
        <w:t>and can supply them with relevant information, such as information on the EU Settlement Scheme.</w:t>
      </w:r>
    </w:p>
    <w:p w14:paraId="1768B768" w14:textId="095F849A" w:rsidR="00557A7A" w:rsidRPr="00286D5E" w:rsidRDefault="00B61BC2" w:rsidP="00A5783F">
      <w:pPr>
        <w:pStyle w:val="ListNumber"/>
        <w:spacing w:before="240"/>
        <w:rPr>
          <w:rStyle w:val="apple-converted-space"/>
          <w:rFonts w:cs="Arial"/>
        </w:rPr>
      </w:pPr>
      <w:r w:rsidRPr="00B61BC2">
        <w:rPr>
          <w:rFonts w:cs="Arial"/>
          <w:color w:val="000000"/>
          <w:szCs w:val="23"/>
        </w:rPr>
        <w:t>The</w:t>
      </w:r>
      <w:r w:rsidR="00F8713B">
        <w:rPr>
          <w:rStyle w:val="apple-converted-space"/>
          <w:rFonts w:cs="Arial"/>
          <w:color w:val="000000"/>
          <w:szCs w:val="23"/>
        </w:rPr>
        <w:t xml:space="preserve"> </w:t>
      </w:r>
      <w:r w:rsidRPr="00B61BC2">
        <w:rPr>
          <w:rFonts w:cs="Arial"/>
          <w:color w:val="000000"/>
          <w:szCs w:val="23"/>
        </w:rPr>
        <w:t>survey will not only provide us with an evidence base on the implications of Brexit on our current</w:t>
      </w:r>
      <w:r w:rsidR="00F8713B">
        <w:rPr>
          <w:rStyle w:val="apple-converted-space"/>
          <w:rFonts w:cs="Arial"/>
          <w:color w:val="000000"/>
          <w:szCs w:val="23"/>
        </w:rPr>
        <w:t xml:space="preserve"> </w:t>
      </w:r>
      <w:r w:rsidRPr="00B61BC2">
        <w:rPr>
          <w:rFonts w:cs="Arial"/>
          <w:color w:val="000000"/>
          <w:szCs w:val="23"/>
        </w:rPr>
        <w:t>workforce</w:t>
      </w:r>
      <w:r w:rsidR="00E20B45">
        <w:rPr>
          <w:rFonts w:cs="Arial"/>
          <w:color w:val="000000"/>
          <w:szCs w:val="23"/>
        </w:rPr>
        <w:t>,</w:t>
      </w:r>
      <w:r w:rsidR="00F8713B">
        <w:rPr>
          <w:rStyle w:val="apple-converted-space"/>
          <w:rFonts w:cs="Arial"/>
          <w:color w:val="000000"/>
          <w:szCs w:val="23"/>
        </w:rPr>
        <w:t xml:space="preserve"> </w:t>
      </w:r>
      <w:r w:rsidRPr="00B61BC2">
        <w:rPr>
          <w:rFonts w:cs="Arial"/>
          <w:color w:val="000000"/>
          <w:szCs w:val="23"/>
        </w:rPr>
        <w:t>but</w:t>
      </w:r>
      <w:r w:rsidR="00E20B45">
        <w:rPr>
          <w:rFonts w:cs="Arial"/>
          <w:color w:val="000000"/>
          <w:szCs w:val="23"/>
        </w:rPr>
        <w:t xml:space="preserve"> will</w:t>
      </w:r>
      <w:r w:rsidRPr="00B61BC2">
        <w:rPr>
          <w:rFonts w:cs="Arial"/>
          <w:color w:val="000000"/>
          <w:szCs w:val="23"/>
        </w:rPr>
        <w:t xml:space="preserve"> also provide a strong lobbying position for </w:t>
      </w:r>
      <w:r w:rsidR="008347A8">
        <w:rPr>
          <w:rFonts w:cs="Arial"/>
          <w:color w:val="000000"/>
          <w:szCs w:val="23"/>
        </w:rPr>
        <w:t xml:space="preserve">our </w:t>
      </w:r>
      <w:r w:rsidRPr="00B61BC2">
        <w:rPr>
          <w:rFonts w:cs="Arial"/>
          <w:color w:val="000000"/>
          <w:szCs w:val="23"/>
        </w:rPr>
        <w:t>future</w:t>
      </w:r>
      <w:r w:rsidR="00F8713B">
        <w:rPr>
          <w:rStyle w:val="apple-converted-space"/>
          <w:rFonts w:cs="Arial"/>
          <w:color w:val="000000"/>
          <w:szCs w:val="23"/>
        </w:rPr>
        <w:t xml:space="preserve"> </w:t>
      </w:r>
      <w:r w:rsidRPr="00B61BC2">
        <w:rPr>
          <w:rFonts w:cs="Arial"/>
          <w:color w:val="000000"/>
          <w:szCs w:val="23"/>
        </w:rPr>
        <w:t>workforce</w:t>
      </w:r>
      <w:r w:rsidR="00F8713B">
        <w:rPr>
          <w:rStyle w:val="apple-converted-space"/>
          <w:rFonts w:cs="Arial"/>
          <w:color w:val="000000"/>
          <w:szCs w:val="23"/>
        </w:rPr>
        <w:t xml:space="preserve"> </w:t>
      </w:r>
      <w:r w:rsidRPr="00B61BC2">
        <w:rPr>
          <w:rFonts w:cs="Arial"/>
          <w:color w:val="000000"/>
          <w:szCs w:val="23"/>
        </w:rPr>
        <w:t>needs and a flexible immigration system post-Brexit.</w:t>
      </w:r>
      <w:r w:rsidRPr="00B61BC2">
        <w:rPr>
          <w:rStyle w:val="apple-converted-space"/>
          <w:rFonts w:cs="Arial"/>
          <w:color w:val="000000"/>
          <w:szCs w:val="23"/>
        </w:rPr>
        <w:t> </w:t>
      </w:r>
    </w:p>
    <w:p w14:paraId="2750D38B" w14:textId="77777777" w:rsidR="00286D5E" w:rsidRDefault="004473F6" w:rsidP="00286D5E">
      <w:pPr>
        <w:pStyle w:val="ListNumber"/>
        <w:numPr>
          <w:ilvl w:val="0"/>
          <w:numId w:val="0"/>
        </w:numPr>
        <w:spacing w:before="240"/>
        <w:rPr>
          <w:rStyle w:val="apple-converted-space"/>
          <w:rFonts w:cs="Arial"/>
          <w:b/>
          <w:color w:val="000000"/>
          <w:szCs w:val="23"/>
        </w:rPr>
      </w:pPr>
      <w:r>
        <w:rPr>
          <w:rStyle w:val="apple-converted-space"/>
          <w:rFonts w:cs="Arial"/>
          <w:b/>
          <w:color w:val="000000"/>
          <w:szCs w:val="23"/>
        </w:rPr>
        <w:t>What is changing?</w:t>
      </w:r>
    </w:p>
    <w:p w14:paraId="62D04F44" w14:textId="77777777" w:rsidR="00535BA4" w:rsidRPr="00535BA4" w:rsidRDefault="00535BA4" w:rsidP="00286D5E">
      <w:pPr>
        <w:pStyle w:val="ListNumber"/>
        <w:numPr>
          <w:ilvl w:val="0"/>
          <w:numId w:val="0"/>
        </w:numPr>
        <w:spacing w:before="240"/>
        <w:rPr>
          <w:rStyle w:val="apple-converted-space"/>
          <w:rFonts w:cs="Arial"/>
          <w:i/>
          <w:iCs/>
          <w:color w:val="000000"/>
          <w:szCs w:val="23"/>
        </w:rPr>
      </w:pPr>
      <w:r w:rsidRPr="00535BA4">
        <w:rPr>
          <w:rStyle w:val="apple-converted-space"/>
          <w:rFonts w:cs="Arial"/>
          <w:i/>
          <w:iCs/>
          <w:color w:val="000000"/>
          <w:szCs w:val="23"/>
        </w:rPr>
        <w:t>Gathering the data</w:t>
      </w:r>
    </w:p>
    <w:p w14:paraId="6C7DC063" w14:textId="2B6B5BEC" w:rsidR="00411E21" w:rsidRPr="00411E21" w:rsidRDefault="00B61BC2" w:rsidP="00B90546">
      <w:pPr>
        <w:pStyle w:val="ListNumber"/>
        <w:spacing w:before="240"/>
        <w:rPr>
          <w:rFonts w:cs="Arial"/>
        </w:rPr>
      </w:pPr>
      <w:r w:rsidRPr="00411E21">
        <w:rPr>
          <w:rFonts w:cs="Arial"/>
        </w:rPr>
        <w:t>The City of Edinburgh Council has led on this work and has undertaken an impact assessment of its</w:t>
      </w:r>
      <w:r w:rsidR="00F8713B">
        <w:rPr>
          <w:rStyle w:val="apple-converted-space"/>
          <w:rFonts w:cs="Arial"/>
          <w:color w:val="000000"/>
          <w:szCs w:val="23"/>
        </w:rPr>
        <w:t xml:space="preserve"> </w:t>
      </w:r>
      <w:r w:rsidRPr="00411E21">
        <w:rPr>
          <w:rFonts w:cs="Arial"/>
        </w:rPr>
        <w:t>workforce</w:t>
      </w:r>
      <w:r w:rsidR="00F8713B">
        <w:rPr>
          <w:rStyle w:val="apple-converted-space"/>
          <w:rFonts w:cs="Arial"/>
          <w:color w:val="000000"/>
          <w:szCs w:val="23"/>
        </w:rPr>
        <w:t xml:space="preserve"> </w:t>
      </w:r>
      <w:r w:rsidRPr="00411E21">
        <w:rPr>
          <w:rFonts w:cs="Arial"/>
        </w:rPr>
        <w:t xml:space="preserve">which has helped the </w:t>
      </w:r>
      <w:r w:rsidR="00612FA5">
        <w:rPr>
          <w:rFonts w:cs="Arial"/>
        </w:rPr>
        <w:t>C</w:t>
      </w:r>
      <w:r w:rsidRPr="00411E21">
        <w:rPr>
          <w:rFonts w:cs="Arial"/>
        </w:rPr>
        <w:t xml:space="preserve">ouncil to shape thinking as to what Brexit means for it as an organisation and for its employees. </w:t>
      </w:r>
      <w:r w:rsidR="00BB1607">
        <w:rPr>
          <w:rFonts w:cs="Arial"/>
        </w:rPr>
        <w:t xml:space="preserve"> </w:t>
      </w:r>
      <w:r w:rsidRPr="00411E21">
        <w:rPr>
          <w:rFonts w:cs="Arial"/>
        </w:rPr>
        <w:t xml:space="preserve">We have used </w:t>
      </w:r>
      <w:r w:rsidRPr="00411E21">
        <w:rPr>
          <w:rFonts w:cs="Arial"/>
          <w:color w:val="000000"/>
          <w:szCs w:val="23"/>
        </w:rPr>
        <w:t>Edinburgh’s survey template</w:t>
      </w:r>
      <w:r w:rsidR="00653437">
        <w:rPr>
          <w:rFonts w:cs="Arial"/>
          <w:color w:val="000000"/>
          <w:szCs w:val="23"/>
        </w:rPr>
        <w:t xml:space="preserve"> for the survey of all </w:t>
      </w:r>
      <w:r w:rsidR="00BB1607">
        <w:rPr>
          <w:rFonts w:cs="Arial"/>
          <w:color w:val="000000"/>
          <w:szCs w:val="23"/>
        </w:rPr>
        <w:t>councils</w:t>
      </w:r>
      <w:r w:rsidRPr="00411E21">
        <w:rPr>
          <w:rFonts w:cs="Arial"/>
          <w:color w:val="000000"/>
          <w:szCs w:val="23"/>
        </w:rPr>
        <w:t>.  The template covers: gender, nationality, age profile, current length of service and a break-down of role level data. Role level data has b</w:t>
      </w:r>
      <w:r w:rsidR="00F8713B">
        <w:rPr>
          <w:rFonts w:cs="Arial"/>
          <w:color w:val="000000"/>
          <w:szCs w:val="23"/>
        </w:rPr>
        <w:t>een categorised into Education and Families, Health and</w:t>
      </w:r>
      <w:r w:rsidRPr="00411E21">
        <w:rPr>
          <w:rFonts w:cs="Arial"/>
          <w:color w:val="000000"/>
          <w:szCs w:val="23"/>
        </w:rPr>
        <w:t xml:space="preserve"> Social Care Partnership, Facilities Management and Other.  </w:t>
      </w:r>
    </w:p>
    <w:p w14:paraId="2F4A8A41" w14:textId="33C51A4D" w:rsidR="0048106A" w:rsidRDefault="003E7422" w:rsidP="00B90546">
      <w:pPr>
        <w:pStyle w:val="ListNumber"/>
        <w:spacing w:before="240"/>
        <w:rPr>
          <w:rFonts w:cs="Arial"/>
        </w:rPr>
      </w:pPr>
      <w:r w:rsidRPr="00411E21">
        <w:rPr>
          <w:rFonts w:cs="Arial"/>
        </w:rPr>
        <w:t>COSLA would like to thank councils for undertaking this work</w:t>
      </w:r>
      <w:r w:rsidR="00100CBF">
        <w:rPr>
          <w:rFonts w:cs="Arial"/>
        </w:rPr>
        <w:t>.  W</w:t>
      </w:r>
      <w:r w:rsidRPr="00411E21">
        <w:rPr>
          <w:rFonts w:cs="Arial"/>
        </w:rPr>
        <w:t xml:space="preserve">e recognise </w:t>
      </w:r>
      <w:r w:rsidR="00100CBF">
        <w:rPr>
          <w:rFonts w:cs="Arial"/>
        </w:rPr>
        <w:t xml:space="preserve">that </w:t>
      </w:r>
      <w:r w:rsidRPr="00411E21">
        <w:rPr>
          <w:rFonts w:cs="Arial"/>
        </w:rPr>
        <w:t>a</w:t>
      </w:r>
      <w:r w:rsidR="002E755D" w:rsidRPr="00411E21">
        <w:rPr>
          <w:rFonts w:cs="Arial"/>
        </w:rPr>
        <w:t xml:space="preserve">ccessing data on </w:t>
      </w:r>
      <w:r w:rsidR="00E552DA">
        <w:rPr>
          <w:rFonts w:cs="Arial"/>
        </w:rPr>
        <w:t xml:space="preserve">non-UK </w:t>
      </w:r>
      <w:r w:rsidR="002E755D" w:rsidRPr="00411E21">
        <w:rPr>
          <w:rFonts w:cs="Arial"/>
        </w:rPr>
        <w:t>EU/EEA citizens from employee files has been a resource intensive exerc</w:t>
      </w:r>
      <w:r w:rsidRPr="00411E21">
        <w:rPr>
          <w:rFonts w:cs="Arial"/>
        </w:rPr>
        <w:t>ise</w:t>
      </w:r>
      <w:r w:rsidR="002E755D" w:rsidRPr="00411E21">
        <w:rPr>
          <w:rFonts w:cs="Arial"/>
        </w:rPr>
        <w:t>.  There are gaps in the data due to disclosure issues</w:t>
      </w:r>
      <w:r w:rsidRPr="00411E21">
        <w:rPr>
          <w:rFonts w:cs="Arial"/>
        </w:rPr>
        <w:t xml:space="preserve"> (</w:t>
      </w:r>
      <w:r w:rsidR="007F3B87">
        <w:rPr>
          <w:rFonts w:cs="Arial"/>
        </w:rPr>
        <w:t xml:space="preserve">for instance, </w:t>
      </w:r>
      <w:r w:rsidR="002E755D" w:rsidRPr="00411E21">
        <w:rPr>
          <w:rFonts w:cs="Arial"/>
        </w:rPr>
        <w:t>there are examples where nationality cannot be identified from system</w:t>
      </w:r>
      <w:r w:rsidR="00100CBF">
        <w:rPr>
          <w:rFonts w:cs="Arial"/>
        </w:rPr>
        <w:t>s</w:t>
      </w:r>
      <w:r w:rsidR="002E755D" w:rsidRPr="00411E21">
        <w:rPr>
          <w:rFonts w:cs="Arial"/>
        </w:rPr>
        <w:t xml:space="preserve"> due to </w:t>
      </w:r>
      <w:r w:rsidRPr="00411E21">
        <w:rPr>
          <w:rFonts w:cs="Arial"/>
        </w:rPr>
        <w:t>non-returns of Equalities Monitoring Form</w:t>
      </w:r>
      <w:r w:rsidR="00351D3B">
        <w:rPr>
          <w:rFonts w:cs="Arial"/>
        </w:rPr>
        <w:t xml:space="preserve">s or when </w:t>
      </w:r>
      <w:r w:rsidRPr="00411E21">
        <w:rPr>
          <w:rFonts w:cs="Arial"/>
        </w:rPr>
        <w:t>employees have chosen not to state their nationality</w:t>
      </w:r>
      <w:r w:rsidR="00351D3B">
        <w:rPr>
          <w:rFonts w:cs="Arial"/>
        </w:rPr>
        <w:t>)</w:t>
      </w:r>
      <w:r w:rsidR="0061627C">
        <w:rPr>
          <w:rFonts w:cs="Arial"/>
        </w:rPr>
        <w:t>, as well as</w:t>
      </w:r>
      <w:r w:rsidRPr="00411E21">
        <w:rPr>
          <w:rFonts w:cs="Arial"/>
        </w:rPr>
        <w:t xml:space="preserve"> </w:t>
      </w:r>
      <w:r w:rsidR="00FB5758" w:rsidRPr="00411E21">
        <w:rPr>
          <w:rFonts w:cs="Arial"/>
        </w:rPr>
        <w:t xml:space="preserve">gaps in recording due to transferring </w:t>
      </w:r>
      <w:r w:rsidR="00411E21" w:rsidRPr="00411E21">
        <w:rPr>
          <w:rFonts w:cs="Arial"/>
        </w:rPr>
        <w:t>to new systems/</w:t>
      </w:r>
      <w:r w:rsidR="00FB5758" w:rsidRPr="00411E21">
        <w:rPr>
          <w:rFonts w:cs="Arial"/>
        </w:rPr>
        <w:t>technology</w:t>
      </w:r>
      <w:r w:rsidR="00C53C4A">
        <w:rPr>
          <w:rFonts w:cs="Arial"/>
        </w:rPr>
        <w:t>,</w:t>
      </w:r>
      <w:r w:rsidR="00FB5758" w:rsidRPr="00411E21">
        <w:rPr>
          <w:rFonts w:cs="Arial"/>
        </w:rPr>
        <w:t xml:space="preserve"> and</w:t>
      </w:r>
      <w:r w:rsidR="00901E05">
        <w:rPr>
          <w:rFonts w:cs="Arial"/>
        </w:rPr>
        <w:t xml:space="preserve"> </w:t>
      </w:r>
      <w:r w:rsidR="00C53C4A">
        <w:rPr>
          <w:rFonts w:cs="Arial"/>
        </w:rPr>
        <w:t>s</w:t>
      </w:r>
      <w:r w:rsidR="00901E05">
        <w:rPr>
          <w:rFonts w:cs="Arial"/>
        </w:rPr>
        <w:t>ystems</w:t>
      </w:r>
      <w:r w:rsidRPr="00411E21">
        <w:rPr>
          <w:rFonts w:cs="Arial"/>
        </w:rPr>
        <w:t xml:space="preserve"> which do not identify individual countries.  </w:t>
      </w:r>
      <w:r w:rsidR="00FB5758" w:rsidRPr="00411E21">
        <w:rPr>
          <w:rFonts w:cs="Arial"/>
        </w:rPr>
        <w:t>There are also gaps in service areas</w:t>
      </w:r>
      <w:r w:rsidR="00CC0148">
        <w:rPr>
          <w:rFonts w:cs="Arial"/>
        </w:rPr>
        <w:t>.  T</w:t>
      </w:r>
      <w:r w:rsidR="00FB5758" w:rsidRPr="00411E21">
        <w:rPr>
          <w:rFonts w:cs="Arial"/>
        </w:rPr>
        <w:t xml:space="preserve">his is particularly relevant when examining social care data and casual/supply workers. </w:t>
      </w:r>
      <w:r w:rsidR="00CC0148">
        <w:rPr>
          <w:rFonts w:cs="Arial"/>
        </w:rPr>
        <w:t xml:space="preserve"> </w:t>
      </w:r>
      <w:r w:rsidR="00FB5758" w:rsidRPr="00411E21">
        <w:rPr>
          <w:rFonts w:cs="Arial"/>
        </w:rPr>
        <w:t>Due to these barriers</w:t>
      </w:r>
      <w:r w:rsidR="00CC0148">
        <w:rPr>
          <w:rFonts w:cs="Arial"/>
        </w:rPr>
        <w:t>,</w:t>
      </w:r>
      <w:r w:rsidR="00FB5758" w:rsidRPr="00411E21">
        <w:rPr>
          <w:rFonts w:cs="Arial"/>
        </w:rPr>
        <w:t xml:space="preserve"> our findings underestimate the number of </w:t>
      </w:r>
      <w:r w:rsidR="00E552DA">
        <w:rPr>
          <w:rFonts w:cs="Arial"/>
        </w:rPr>
        <w:t xml:space="preserve">non-UK </w:t>
      </w:r>
      <w:r w:rsidR="00FB5758" w:rsidRPr="00411E21">
        <w:rPr>
          <w:rFonts w:cs="Arial"/>
        </w:rPr>
        <w:t xml:space="preserve">EU/EEA employees in </w:t>
      </w:r>
      <w:r w:rsidR="00CC0148">
        <w:rPr>
          <w:rFonts w:cs="Arial"/>
        </w:rPr>
        <w:t>the L</w:t>
      </w:r>
      <w:r w:rsidR="00FB5758" w:rsidRPr="00411E21">
        <w:rPr>
          <w:rFonts w:cs="Arial"/>
        </w:rPr>
        <w:t xml:space="preserve">ocal </w:t>
      </w:r>
      <w:r w:rsidR="00CC0148">
        <w:rPr>
          <w:rFonts w:cs="Arial"/>
        </w:rPr>
        <w:t>G</w:t>
      </w:r>
      <w:r w:rsidR="00FB5758" w:rsidRPr="00411E21">
        <w:rPr>
          <w:rFonts w:cs="Arial"/>
        </w:rPr>
        <w:t xml:space="preserve">overnment workforce. </w:t>
      </w:r>
    </w:p>
    <w:p w14:paraId="59A6B5DB" w14:textId="6ADA7A52" w:rsidR="00BF300B" w:rsidRDefault="00BF300B" w:rsidP="00B90546">
      <w:pPr>
        <w:pStyle w:val="ListNumber"/>
        <w:spacing w:before="240"/>
        <w:rPr>
          <w:rFonts w:cs="Arial"/>
        </w:rPr>
      </w:pPr>
      <w:r>
        <w:rPr>
          <w:rFonts w:cs="Arial"/>
        </w:rPr>
        <w:lastRenderedPageBreak/>
        <w:t xml:space="preserve">The table in </w:t>
      </w:r>
      <w:r w:rsidR="001E67DE">
        <w:rPr>
          <w:rFonts w:cs="Arial"/>
        </w:rPr>
        <w:t>A</w:t>
      </w:r>
      <w:r>
        <w:rPr>
          <w:rFonts w:cs="Arial"/>
        </w:rPr>
        <w:t>ppendix</w:t>
      </w:r>
      <w:r w:rsidR="004B0D23">
        <w:rPr>
          <w:rFonts w:cs="Arial"/>
        </w:rPr>
        <w:t xml:space="preserve"> 1</w:t>
      </w:r>
      <w:r>
        <w:rPr>
          <w:rFonts w:cs="Arial"/>
        </w:rPr>
        <w:t xml:space="preserve"> </w:t>
      </w:r>
      <w:r w:rsidR="008C7040">
        <w:rPr>
          <w:rFonts w:cs="Arial"/>
        </w:rPr>
        <w:t xml:space="preserve">provides an overview of </w:t>
      </w:r>
      <w:r w:rsidR="001E67DE">
        <w:rPr>
          <w:rFonts w:cs="Arial"/>
        </w:rPr>
        <w:t>our</w:t>
      </w:r>
      <w:r w:rsidR="008C7040">
        <w:rPr>
          <w:rFonts w:cs="Arial"/>
        </w:rPr>
        <w:t xml:space="preserve"> </w:t>
      </w:r>
      <w:r w:rsidR="00A57FBE">
        <w:rPr>
          <w:rFonts w:cs="Arial"/>
        </w:rPr>
        <w:t>interim f</w:t>
      </w:r>
      <w:r w:rsidR="002421AD">
        <w:rPr>
          <w:rFonts w:cs="Arial"/>
        </w:rPr>
        <w:t>indings</w:t>
      </w:r>
      <w:r w:rsidR="001E67DE">
        <w:rPr>
          <w:rFonts w:cs="Arial"/>
        </w:rPr>
        <w:t>,</w:t>
      </w:r>
      <w:r w:rsidR="002421AD">
        <w:rPr>
          <w:rFonts w:cs="Arial"/>
        </w:rPr>
        <w:t xml:space="preserve"> but also highlights the complexity of extracting this data from our workforce systems, the </w:t>
      </w:r>
      <w:r w:rsidR="00A57FBE">
        <w:rPr>
          <w:rFonts w:cs="Arial"/>
        </w:rPr>
        <w:t xml:space="preserve">gaps in our evidence base, and the difficulty of extrapolating from incomplete data. </w:t>
      </w:r>
    </w:p>
    <w:p w14:paraId="6B9B6F05" w14:textId="77777777" w:rsidR="00535BA4" w:rsidRDefault="00535BA4" w:rsidP="00535BA4">
      <w:pPr>
        <w:pStyle w:val="ListNumber"/>
        <w:numPr>
          <w:ilvl w:val="0"/>
          <w:numId w:val="0"/>
        </w:numPr>
        <w:rPr>
          <w:rStyle w:val="apple-converted-space"/>
          <w:rFonts w:cs="Arial"/>
          <w:i/>
          <w:iCs/>
          <w:color w:val="000000"/>
          <w:szCs w:val="23"/>
        </w:rPr>
      </w:pPr>
    </w:p>
    <w:p w14:paraId="44FEF233" w14:textId="77777777" w:rsidR="00535BA4" w:rsidRPr="000F256D" w:rsidRDefault="00BF300B" w:rsidP="000F256D">
      <w:pPr>
        <w:pStyle w:val="ListNumber"/>
        <w:numPr>
          <w:ilvl w:val="0"/>
          <w:numId w:val="0"/>
        </w:numPr>
      </w:pPr>
      <w:r>
        <w:rPr>
          <w:rStyle w:val="apple-converted-space"/>
          <w:rFonts w:cs="Arial"/>
          <w:i/>
          <w:iCs/>
          <w:color w:val="000000"/>
          <w:szCs w:val="23"/>
        </w:rPr>
        <w:t>Interim</w:t>
      </w:r>
      <w:r w:rsidR="00535BA4" w:rsidRPr="000E72A8">
        <w:rPr>
          <w:rStyle w:val="apple-converted-space"/>
          <w:rFonts w:cs="Arial"/>
          <w:i/>
          <w:iCs/>
          <w:color w:val="000000"/>
          <w:szCs w:val="23"/>
        </w:rPr>
        <w:t xml:space="preserve"> findings</w:t>
      </w:r>
    </w:p>
    <w:p w14:paraId="039E7136" w14:textId="39B0551B" w:rsidR="00AA6CF7" w:rsidRPr="00411E21" w:rsidRDefault="00AA6CF7" w:rsidP="00B90546">
      <w:pPr>
        <w:pStyle w:val="ListNumber"/>
        <w:spacing w:before="240"/>
        <w:rPr>
          <w:rFonts w:cs="Arial"/>
        </w:rPr>
      </w:pPr>
      <w:r>
        <w:rPr>
          <w:rFonts w:cs="Arial"/>
        </w:rPr>
        <w:t xml:space="preserve">According to </w:t>
      </w:r>
      <w:r w:rsidR="00182EE6">
        <w:rPr>
          <w:rFonts w:cs="Arial"/>
        </w:rPr>
        <w:t xml:space="preserve">the most recent population survey by the </w:t>
      </w:r>
      <w:r>
        <w:rPr>
          <w:rFonts w:cs="Arial"/>
        </w:rPr>
        <w:t>National Records of Scotland (NRS), there are 235,000 EU nationals living in Scotland, representing 4% of the resident population</w:t>
      </w:r>
      <w:r w:rsidR="00C773F8">
        <w:rPr>
          <w:rStyle w:val="FootnoteReference"/>
          <w:rFonts w:cs="Arial"/>
        </w:rPr>
        <w:footnoteReference w:id="1"/>
      </w:r>
      <w:r>
        <w:rPr>
          <w:rFonts w:cs="Arial"/>
        </w:rPr>
        <w:t xml:space="preserve">.  </w:t>
      </w:r>
      <w:r w:rsidR="00C773F8">
        <w:rPr>
          <w:rFonts w:cs="Arial"/>
        </w:rPr>
        <w:t>According to our</w:t>
      </w:r>
      <w:r w:rsidR="000F256D">
        <w:rPr>
          <w:rFonts w:cs="Arial"/>
        </w:rPr>
        <w:t xml:space="preserve"> interim findings, non-UK EU/EEA nationals make up approximately 1.5% of </w:t>
      </w:r>
      <w:r w:rsidR="00F15640">
        <w:rPr>
          <w:rFonts w:cs="Arial"/>
        </w:rPr>
        <w:t>the</w:t>
      </w:r>
      <w:r w:rsidR="000F256D">
        <w:rPr>
          <w:rFonts w:cs="Arial"/>
        </w:rPr>
        <w:t xml:space="preserve"> </w:t>
      </w:r>
      <w:r w:rsidR="00F15640">
        <w:rPr>
          <w:rFonts w:cs="Arial"/>
        </w:rPr>
        <w:t>L</w:t>
      </w:r>
      <w:r w:rsidR="000F256D">
        <w:rPr>
          <w:rFonts w:cs="Arial"/>
        </w:rPr>
        <w:t xml:space="preserve">ocal </w:t>
      </w:r>
      <w:r w:rsidR="00F15640">
        <w:rPr>
          <w:rFonts w:cs="Arial"/>
        </w:rPr>
        <w:t>G</w:t>
      </w:r>
      <w:r w:rsidR="000F256D">
        <w:rPr>
          <w:rFonts w:cs="Arial"/>
        </w:rPr>
        <w:t>overnment workforce.  However, as highlighted above</w:t>
      </w:r>
      <w:r w:rsidR="00F15640">
        <w:rPr>
          <w:rFonts w:cs="Arial"/>
        </w:rPr>
        <w:t>,</w:t>
      </w:r>
      <w:r w:rsidR="000F256D">
        <w:rPr>
          <w:rFonts w:cs="Arial"/>
        </w:rPr>
        <w:t xml:space="preserve"> there are significant gaps in our data and this does not capture all of our non-UK EU/EEA workforce.</w:t>
      </w:r>
      <w:r>
        <w:rPr>
          <w:rFonts w:cs="Arial"/>
        </w:rPr>
        <w:t xml:space="preserve">  </w:t>
      </w:r>
    </w:p>
    <w:p w14:paraId="1C75AD71" w14:textId="77777777" w:rsidR="000F256D" w:rsidRDefault="00C773F8" w:rsidP="00411E21">
      <w:pPr>
        <w:pStyle w:val="ListNumber"/>
        <w:spacing w:before="240"/>
        <w:rPr>
          <w:rFonts w:cs="Arial"/>
        </w:rPr>
      </w:pPr>
      <w:r>
        <w:rPr>
          <w:rFonts w:cs="Arial"/>
        </w:rPr>
        <w:t>From the interim findings,</w:t>
      </w:r>
      <w:r w:rsidR="00FB5758">
        <w:rPr>
          <w:rFonts w:cs="Arial"/>
        </w:rPr>
        <w:t xml:space="preserve"> it is</w:t>
      </w:r>
      <w:r>
        <w:rPr>
          <w:rFonts w:cs="Arial"/>
        </w:rPr>
        <w:t xml:space="preserve"> clear that e</w:t>
      </w:r>
      <w:r w:rsidR="00FB5758">
        <w:rPr>
          <w:rFonts w:cs="Arial"/>
        </w:rPr>
        <w:t xml:space="preserve">ducation services </w:t>
      </w:r>
      <w:r w:rsidR="002E6A98">
        <w:rPr>
          <w:rFonts w:cs="Arial"/>
        </w:rPr>
        <w:t>have some of the most</w:t>
      </w:r>
      <w:r w:rsidR="00FB5758">
        <w:rPr>
          <w:rFonts w:cs="Arial"/>
        </w:rPr>
        <w:t xml:space="preserve"> significant </w:t>
      </w:r>
      <w:r w:rsidR="002E6A98">
        <w:rPr>
          <w:rFonts w:cs="Arial"/>
        </w:rPr>
        <w:t xml:space="preserve">numbers of </w:t>
      </w:r>
      <w:r w:rsidR="00C701E8">
        <w:rPr>
          <w:rFonts w:cs="Arial"/>
        </w:rPr>
        <w:t xml:space="preserve">non-UK </w:t>
      </w:r>
      <w:r w:rsidR="002E6A98">
        <w:rPr>
          <w:rFonts w:cs="Arial"/>
        </w:rPr>
        <w:t xml:space="preserve">EU/EEA </w:t>
      </w:r>
      <w:r w:rsidR="00C701E8">
        <w:rPr>
          <w:rFonts w:cs="Arial"/>
        </w:rPr>
        <w:t xml:space="preserve">workers.  </w:t>
      </w:r>
      <w:r w:rsidR="000F256D">
        <w:rPr>
          <w:rFonts w:cs="Arial"/>
        </w:rPr>
        <w:t>According to our interim findings, 44% of our non-UK EU/EEA workforce are in schools and early years.</w:t>
      </w:r>
    </w:p>
    <w:p w14:paraId="698B7ADA" w14:textId="582D672C" w:rsidR="00723540" w:rsidRDefault="00994936" w:rsidP="00411E21">
      <w:pPr>
        <w:pStyle w:val="ListNumber"/>
        <w:spacing w:before="240"/>
        <w:rPr>
          <w:rFonts w:cs="Arial"/>
        </w:rPr>
      </w:pPr>
      <w:r>
        <w:rPr>
          <w:rFonts w:cs="Arial"/>
        </w:rPr>
        <w:t>As mentioned above, for some</w:t>
      </w:r>
      <w:r w:rsidR="002E6A98">
        <w:rPr>
          <w:rFonts w:cs="Arial"/>
        </w:rPr>
        <w:t xml:space="preserve"> councils there were </w:t>
      </w:r>
      <w:r>
        <w:rPr>
          <w:rFonts w:cs="Arial"/>
        </w:rPr>
        <w:t xml:space="preserve">significant </w:t>
      </w:r>
      <w:r w:rsidR="002E6A98">
        <w:rPr>
          <w:rFonts w:cs="Arial"/>
        </w:rPr>
        <w:t>barriers to accessing data from</w:t>
      </w:r>
      <w:r w:rsidR="00411E21">
        <w:rPr>
          <w:rFonts w:cs="Arial"/>
        </w:rPr>
        <w:t xml:space="preserve"> </w:t>
      </w:r>
      <w:r w:rsidR="00AA5525">
        <w:rPr>
          <w:rFonts w:cs="Arial"/>
        </w:rPr>
        <w:t>h</w:t>
      </w:r>
      <w:r w:rsidR="00FE07D4">
        <w:rPr>
          <w:rFonts w:cs="Arial"/>
        </w:rPr>
        <w:t>ealth and</w:t>
      </w:r>
      <w:r w:rsidR="00411E21">
        <w:rPr>
          <w:rFonts w:cs="Arial"/>
        </w:rPr>
        <w:t xml:space="preserve"> </w:t>
      </w:r>
      <w:r w:rsidR="00AA5525">
        <w:rPr>
          <w:rFonts w:cs="Arial"/>
        </w:rPr>
        <w:t>s</w:t>
      </w:r>
      <w:r w:rsidR="00411E21">
        <w:rPr>
          <w:rFonts w:cs="Arial"/>
        </w:rPr>
        <w:t xml:space="preserve">ocial </w:t>
      </w:r>
      <w:r w:rsidR="00AA5525">
        <w:rPr>
          <w:rFonts w:cs="Arial"/>
        </w:rPr>
        <w:t>c</w:t>
      </w:r>
      <w:r w:rsidR="00411E21">
        <w:rPr>
          <w:rFonts w:cs="Arial"/>
        </w:rPr>
        <w:t>are services</w:t>
      </w:r>
      <w:r w:rsidR="001A5B61">
        <w:rPr>
          <w:rFonts w:cs="Arial"/>
        </w:rPr>
        <w:t xml:space="preserve">.  The table </w:t>
      </w:r>
      <w:r w:rsidR="00C701E8">
        <w:rPr>
          <w:rFonts w:cs="Arial"/>
        </w:rPr>
        <w:t>does not</w:t>
      </w:r>
      <w:r w:rsidR="00411E21">
        <w:rPr>
          <w:rFonts w:cs="Arial"/>
        </w:rPr>
        <w:t xml:space="preserve"> </w:t>
      </w:r>
      <w:r w:rsidR="001A5B61">
        <w:rPr>
          <w:rFonts w:cs="Arial"/>
        </w:rPr>
        <w:t xml:space="preserve">therefore </w:t>
      </w:r>
      <w:r w:rsidR="00411E21">
        <w:rPr>
          <w:rFonts w:cs="Arial"/>
        </w:rPr>
        <w:t>reflect</w:t>
      </w:r>
      <w:r w:rsidR="00BF10D1">
        <w:rPr>
          <w:rFonts w:cs="Arial"/>
        </w:rPr>
        <w:t xml:space="preserve"> the make-up of council</w:t>
      </w:r>
      <w:r w:rsidR="00C701E8">
        <w:rPr>
          <w:rFonts w:cs="Arial"/>
        </w:rPr>
        <w:t xml:space="preserve"> </w:t>
      </w:r>
      <w:r w:rsidR="00F817FD">
        <w:rPr>
          <w:rFonts w:cs="Arial"/>
        </w:rPr>
        <w:t>h</w:t>
      </w:r>
      <w:r w:rsidR="00FE07D4">
        <w:rPr>
          <w:rFonts w:cs="Arial"/>
        </w:rPr>
        <w:t xml:space="preserve">ealth and </w:t>
      </w:r>
      <w:r w:rsidR="00F817FD">
        <w:rPr>
          <w:rFonts w:cs="Arial"/>
        </w:rPr>
        <w:t>s</w:t>
      </w:r>
      <w:r w:rsidR="00C701E8">
        <w:rPr>
          <w:rFonts w:cs="Arial"/>
        </w:rPr>
        <w:t xml:space="preserve">ocial </w:t>
      </w:r>
      <w:r w:rsidR="00F817FD">
        <w:rPr>
          <w:rFonts w:cs="Arial"/>
        </w:rPr>
        <w:t>c</w:t>
      </w:r>
      <w:r w:rsidR="00C701E8">
        <w:rPr>
          <w:rFonts w:cs="Arial"/>
        </w:rPr>
        <w:t>are services</w:t>
      </w:r>
      <w:r w:rsidR="00E00CAC">
        <w:rPr>
          <w:rFonts w:cs="Arial"/>
        </w:rPr>
        <w:t xml:space="preserve"> </w:t>
      </w:r>
      <w:r w:rsidR="00F817FD">
        <w:rPr>
          <w:rFonts w:cs="Arial"/>
        </w:rPr>
        <w:t>or, indeed</w:t>
      </w:r>
      <w:r w:rsidR="00E00CAC">
        <w:rPr>
          <w:rFonts w:cs="Arial"/>
        </w:rPr>
        <w:t xml:space="preserve">, wider social care services. </w:t>
      </w:r>
      <w:r w:rsidR="00D46ABA">
        <w:rPr>
          <w:rFonts w:cs="Arial"/>
        </w:rPr>
        <w:t xml:space="preserve"> </w:t>
      </w:r>
      <w:r w:rsidR="00E00CAC">
        <w:rPr>
          <w:rFonts w:cs="Arial"/>
        </w:rPr>
        <w:t>I</w:t>
      </w:r>
      <w:r w:rsidR="00C701E8">
        <w:rPr>
          <w:rFonts w:cs="Arial"/>
        </w:rPr>
        <w:t xml:space="preserve">n the </w:t>
      </w:r>
      <w:r w:rsidR="002E6A98">
        <w:rPr>
          <w:rFonts w:cs="Arial"/>
        </w:rPr>
        <w:t>Scottish Government’s report</w:t>
      </w:r>
      <w:r w:rsidR="00C701E8">
        <w:rPr>
          <w:rFonts w:cs="Arial"/>
        </w:rPr>
        <w:t xml:space="preserve"> </w:t>
      </w:r>
      <w:hyperlink r:id="rId15" w:history="1">
        <w:r w:rsidR="00C701E8" w:rsidRPr="00C701E8">
          <w:rPr>
            <w:rStyle w:val="Hyperlink"/>
            <w:rFonts w:cs="Arial"/>
          </w:rPr>
          <w:t>‘EU Workers in Scotland’s Social Care Force’</w:t>
        </w:r>
      </w:hyperlink>
      <w:r w:rsidR="002E6A98">
        <w:rPr>
          <w:rFonts w:cs="Arial"/>
        </w:rPr>
        <w:t xml:space="preserve"> the estimate</w:t>
      </w:r>
      <w:r w:rsidR="00D46ABA">
        <w:rPr>
          <w:rFonts w:cs="Arial"/>
        </w:rPr>
        <w:t>d</w:t>
      </w:r>
      <w:r w:rsidR="002E6A98">
        <w:rPr>
          <w:rFonts w:cs="Arial"/>
        </w:rPr>
        <w:t xml:space="preserve"> percentage of people employed within adult social care and childcare that are non-UK EU nationals is 5.6%.</w:t>
      </w:r>
      <w:r w:rsidR="00411E21">
        <w:rPr>
          <w:rFonts w:cs="Arial"/>
        </w:rPr>
        <w:t xml:space="preserve"> </w:t>
      </w:r>
    </w:p>
    <w:p w14:paraId="26F4DCE1" w14:textId="210A7DC3" w:rsidR="000E72A8" w:rsidRPr="00940989" w:rsidRDefault="00411E21" w:rsidP="00411E21">
      <w:pPr>
        <w:pStyle w:val="ListNumber"/>
        <w:spacing w:before="240"/>
        <w:rPr>
          <w:rFonts w:cs="Arial"/>
        </w:rPr>
      </w:pPr>
      <w:r>
        <w:rPr>
          <w:rFonts w:cs="Arial"/>
          <w:color w:val="000000"/>
          <w:szCs w:val="23"/>
        </w:rPr>
        <w:t xml:space="preserve">The </w:t>
      </w:r>
      <w:r w:rsidR="00723540">
        <w:rPr>
          <w:rFonts w:cs="Arial"/>
          <w:color w:val="000000"/>
          <w:szCs w:val="23"/>
        </w:rPr>
        <w:t>‘</w:t>
      </w:r>
      <w:r>
        <w:rPr>
          <w:rFonts w:cs="Arial"/>
          <w:color w:val="000000"/>
          <w:szCs w:val="23"/>
        </w:rPr>
        <w:t>other</w:t>
      </w:r>
      <w:r w:rsidR="00723540">
        <w:rPr>
          <w:rFonts w:cs="Arial"/>
          <w:color w:val="000000"/>
          <w:szCs w:val="23"/>
        </w:rPr>
        <w:t>’</w:t>
      </w:r>
      <w:r>
        <w:rPr>
          <w:rFonts w:cs="Arial"/>
          <w:color w:val="000000"/>
          <w:szCs w:val="23"/>
        </w:rPr>
        <w:t xml:space="preserve"> category covers </w:t>
      </w:r>
      <w:r w:rsidR="00723540">
        <w:rPr>
          <w:rFonts w:cs="Arial"/>
          <w:color w:val="000000"/>
          <w:szCs w:val="23"/>
        </w:rPr>
        <w:t xml:space="preserve">non-UK </w:t>
      </w:r>
      <w:r>
        <w:rPr>
          <w:rFonts w:cs="Arial"/>
          <w:color w:val="000000"/>
          <w:szCs w:val="23"/>
        </w:rPr>
        <w:t>EU</w:t>
      </w:r>
      <w:r w:rsidR="00723540">
        <w:rPr>
          <w:rFonts w:cs="Arial"/>
          <w:color w:val="000000"/>
          <w:szCs w:val="23"/>
        </w:rPr>
        <w:t xml:space="preserve">/EEA citizens </w:t>
      </w:r>
      <w:r>
        <w:rPr>
          <w:rFonts w:cs="Arial"/>
          <w:color w:val="000000"/>
          <w:szCs w:val="23"/>
        </w:rPr>
        <w:t>employed across all council services</w:t>
      </w:r>
      <w:r w:rsidR="00D46ABA">
        <w:rPr>
          <w:rFonts w:cs="Arial"/>
          <w:color w:val="000000"/>
          <w:szCs w:val="23"/>
        </w:rPr>
        <w:t>.  This</w:t>
      </w:r>
      <w:r w:rsidR="00723540">
        <w:rPr>
          <w:rFonts w:cs="Arial"/>
          <w:color w:val="000000"/>
          <w:szCs w:val="23"/>
        </w:rPr>
        <w:t xml:space="preserve"> includes</w:t>
      </w:r>
      <w:r>
        <w:rPr>
          <w:rFonts w:cs="Arial"/>
          <w:color w:val="000000"/>
          <w:szCs w:val="23"/>
        </w:rPr>
        <w:t xml:space="preserve"> accounts, auditing, administration, culture, economic development and IT.</w:t>
      </w:r>
    </w:p>
    <w:p w14:paraId="1ACA7BDB" w14:textId="77777777" w:rsidR="00940989" w:rsidRPr="00EA3118" w:rsidRDefault="00EA3118" w:rsidP="00EA3118">
      <w:pPr>
        <w:pStyle w:val="ListNumber"/>
        <w:spacing w:before="240"/>
        <w:rPr>
          <w:rFonts w:cs="Arial"/>
        </w:rPr>
      </w:pPr>
      <w:r>
        <w:rPr>
          <w:rFonts w:cs="Arial"/>
          <w:color w:val="000000"/>
          <w:szCs w:val="23"/>
        </w:rPr>
        <w:t xml:space="preserve">In terms of age profile, 58% of our non-UK EU/EEA workforce are under 40 years old.  This was calculated from </w:t>
      </w:r>
      <w:r w:rsidR="004451EE">
        <w:rPr>
          <w:rFonts w:cs="Arial"/>
          <w:color w:val="000000"/>
          <w:szCs w:val="23"/>
        </w:rPr>
        <w:t xml:space="preserve">the 23 council </w:t>
      </w:r>
      <w:r>
        <w:rPr>
          <w:rFonts w:cs="Arial"/>
          <w:color w:val="000000"/>
          <w:szCs w:val="23"/>
        </w:rPr>
        <w:t xml:space="preserve">responses which included </w:t>
      </w:r>
      <w:r w:rsidR="004451EE">
        <w:rPr>
          <w:rFonts w:cs="Arial"/>
          <w:color w:val="000000"/>
          <w:szCs w:val="23"/>
        </w:rPr>
        <w:t>age profile</w:t>
      </w:r>
      <w:r>
        <w:rPr>
          <w:rFonts w:cs="Arial"/>
          <w:color w:val="000000"/>
          <w:szCs w:val="23"/>
        </w:rPr>
        <w:t>.</w:t>
      </w:r>
      <w:r w:rsidR="00940989" w:rsidRPr="00EA3118">
        <w:rPr>
          <w:rFonts w:cs="Arial"/>
          <w:color w:val="000000"/>
          <w:szCs w:val="23"/>
        </w:rPr>
        <w:t xml:space="preserve"> </w:t>
      </w:r>
    </w:p>
    <w:p w14:paraId="64FE4B69" w14:textId="77777777" w:rsidR="0048106A" w:rsidRDefault="004473F6">
      <w:pPr>
        <w:pStyle w:val="Heading1"/>
        <w:jc w:val="both"/>
      </w:pPr>
      <w:r>
        <w:t>Pr</w:t>
      </w:r>
      <w:r w:rsidR="00B15C7A">
        <w:t>oposed COSLA position</w:t>
      </w:r>
    </w:p>
    <w:p w14:paraId="0A9FE698" w14:textId="0EF0C119" w:rsidR="00C701E8" w:rsidRDefault="00C701E8" w:rsidP="006C6D5C">
      <w:pPr>
        <w:pStyle w:val="ListNumber"/>
        <w:spacing w:before="240"/>
      </w:pPr>
      <w:r>
        <w:t xml:space="preserve">This information will inform the work of the COSLA/Scottish Government </w:t>
      </w:r>
      <w:r w:rsidR="00FF39DD">
        <w:t xml:space="preserve">Brexit </w:t>
      </w:r>
      <w:r>
        <w:t xml:space="preserve">Preparedness </w:t>
      </w:r>
      <w:r w:rsidR="00831DAA">
        <w:t>Group</w:t>
      </w:r>
      <w:r w:rsidR="00FF39DD">
        <w:t xml:space="preserve">.  This is </w:t>
      </w:r>
      <w:r w:rsidR="00831DAA">
        <w:t>explor</w:t>
      </w:r>
      <w:r w:rsidR="00FF39DD">
        <w:t>ing</w:t>
      </w:r>
      <w:r w:rsidR="00831DAA">
        <w:t xml:space="preserve"> four key areas: people (including workforce), goods and services, impact on places, and finances. </w:t>
      </w:r>
      <w:r>
        <w:t xml:space="preserve">  </w:t>
      </w:r>
    </w:p>
    <w:p w14:paraId="335E1AD4" w14:textId="12200DEF" w:rsidR="0048106A" w:rsidRDefault="000E72A8" w:rsidP="006C6D5C">
      <w:pPr>
        <w:pStyle w:val="ListNumber"/>
        <w:spacing w:before="240"/>
      </w:pPr>
      <w:r>
        <w:t>COSLA is</w:t>
      </w:r>
      <w:r w:rsidR="00831DAA">
        <w:t xml:space="preserve"> </w:t>
      </w:r>
      <w:r w:rsidR="00DE3CC8">
        <w:t xml:space="preserve">also </w:t>
      </w:r>
      <w:r w:rsidR="00831DAA">
        <w:t xml:space="preserve">working with the Home Office on the potential EU Settlement Scheme.  The survey work should </w:t>
      </w:r>
      <w:r w:rsidR="00557A7A">
        <w:t>ensure councils are clearer</w:t>
      </w:r>
      <w:r w:rsidR="00831DAA">
        <w:t xml:space="preserve"> on their non-UK EU/EEA employees and can communicate important information </w:t>
      </w:r>
      <w:r w:rsidR="00DE3CC8">
        <w:t>on</w:t>
      </w:r>
      <w:r w:rsidR="00831DAA">
        <w:t xml:space="preserve"> securing their status. </w:t>
      </w:r>
    </w:p>
    <w:p w14:paraId="3C38070A" w14:textId="3AEAB4BB" w:rsidR="00C701E8" w:rsidRDefault="009740A0" w:rsidP="006C6D5C">
      <w:pPr>
        <w:pStyle w:val="ListNumber"/>
        <w:spacing w:before="240"/>
      </w:pPr>
      <w:r>
        <w:t xml:space="preserve">In addition, </w:t>
      </w:r>
      <w:r w:rsidR="00557A7A">
        <w:t>Scottish Government has committed to meet the settled status fees for EU citizens working in devolved public services</w:t>
      </w:r>
      <w:r>
        <w:t>.  This was confirmed</w:t>
      </w:r>
      <w:r w:rsidR="00557A7A">
        <w:t xml:space="preserve"> in the </w:t>
      </w:r>
      <w:r>
        <w:t xml:space="preserve">recently published </w:t>
      </w:r>
      <w:r w:rsidR="00557A7A">
        <w:t>Programme for Government.  COSLA Community Wellbeing Spokesperson, Cllr Whitham, has written to the Minister for Europe, Migration and International Development, Ben Macpherson</w:t>
      </w:r>
      <w:r w:rsidR="0072315E">
        <w:t xml:space="preserve"> MSP</w:t>
      </w:r>
      <w:r w:rsidR="00557A7A">
        <w:t xml:space="preserve">, to seek clarity on who this commitment will actually cover.  </w:t>
      </w:r>
      <w:r w:rsidR="00A5783F">
        <w:t xml:space="preserve">Cllr Whitham will meet the </w:t>
      </w:r>
      <w:r w:rsidR="0072315E">
        <w:t>M</w:t>
      </w:r>
      <w:r w:rsidR="00A5783F">
        <w:t>inister in November to discuss th</w:t>
      </w:r>
      <w:r w:rsidR="00410DFB">
        <w:t>is</w:t>
      </w:r>
      <w:r w:rsidR="00A5783F">
        <w:t xml:space="preserve"> commitment, as well as wider Brexit issues. </w:t>
      </w:r>
      <w:r w:rsidR="0072315E">
        <w:t xml:space="preserve"> </w:t>
      </w:r>
      <w:r w:rsidR="00C24FF3">
        <w:t>T</w:t>
      </w:r>
      <w:r w:rsidR="00557A7A">
        <w:t xml:space="preserve">he survey results will be useful for </w:t>
      </w:r>
      <w:r w:rsidR="001E7D98">
        <w:t xml:space="preserve">Scottish Government in </w:t>
      </w:r>
      <w:r w:rsidR="00557A7A">
        <w:t xml:space="preserve">identifying EU citizens and delivering </w:t>
      </w:r>
      <w:r w:rsidR="00C24FF3">
        <w:t xml:space="preserve">on </w:t>
      </w:r>
      <w:r w:rsidR="00557A7A">
        <w:t>th</w:t>
      </w:r>
      <w:r w:rsidR="00410DFB">
        <w:t>e</w:t>
      </w:r>
      <w:r w:rsidR="00557A7A">
        <w:t xml:space="preserve"> commitment</w:t>
      </w:r>
      <w:r w:rsidR="00A5783F">
        <w:t>.</w:t>
      </w:r>
    </w:p>
    <w:p w14:paraId="4C72E42C" w14:textId="77777777" w:rsidR="00D67D89" w:rsidRPr="00B419D8" w:rsidRDefault="00B15C7A" w:rsidP="00B419D8">
      <w:pPr>
        <w:pStyle w:val="ListNumber"/>
        <w:numPr>
          <w:ilvl w:val="0"/>
          <w:numId w:val="0"/>
        </w:numPr>
        <w:spacing w:before="240"/>
        <w:rPr>
          <w:b/>
        </w:rPr>
      </w:pPr>
      <w:r w:rsidRPr="00B15C7A">
        <w:rPr>
          <w:b/>
        </w:rPr>
        <w:t>Next steps</w:t>
      </w:r>
    </w:p>
    <w:p w14:paraId="6234F76E" w14:textId="0ED5DAAA" w:rsidR="00682DB3" w:rsidRDefault="00B419D8" w:rsidP="00682DB3">
      <w:pPr>
        <w:pStyle w:val="ListNumber"/>
        <w:spacing w:before="240"/>
      </w:pPr>
      <w:r>
        <w:t xml:space="preserve">These interim findings </w:t>
      </w:r>
      <w:r w:rsidR="003859F7">
        <w:t>have generated a number of</w:t>
      </w:r>
      <w:r w:rsidR="003A4776">
        <w:t xml:space="preserve"> questions </w:t>
      </w:r>
      <w:r w:rsidR="003859F7">
        <w:t>as well as</w:t>
      </w:r>
      <w:r w:rsidR="003A4776">
        <w:t xml:space="preserve"> answers.  </w:t>
      </w:r>
      <w:r w:rsidR="003859F7">
        <w:t>For instance, w</w:t>
      </w:r>
      <w:r>
        <w:t xml:space="preserve">hat </w:t>
      </w:r>
      <w:r w:rsidR="003859F7">
        <w:t>further</w:t>
      </w:r>
      <w:r>
        <w:t xml:space="preserve"> data do we need to gather and collate to better understand and </w:t>
      </w:r>
      <w:r>
        <w:lastRenderedPageBreak/>
        <w:t>prepare for the likely impact of Brexit on</w:t>
      </w:r>
      <w:r w:rsidR="003A4776">
        <w:t xml:space="preserve"> the </w:t>
      </w:r>
      <w:r w:rsidR="007B6BAD">
        <w:t>L</w:t>
      </w:r>
      <w:r w:rsidR="003A4776">
        <w:t xml:space="preserve">ocal </w:t>
      </w:r>
      <w:r w:rsidR="007B6BAD">
        <w:t>G</w:t>
      </w:r>
      <w:r w:rsidR="003A4776">
        <w:t>overnment workforce</w:t>
      </w:r>
      <w:r w:rsidR="007B6BAD">
        <w:t xml:space="preserve">, </w:t>
      </w:r>
      <w:r w:rsidR="006E155D">
        <w:t>and how can we gather and</w:t>
      </w:r>
      <w:r w:rsidR="003A4776">
        <w:t xml:space="preserve"> use it to best effect?</w:t>
      </w:r>
      <w:r>
        <w:t xml:space="preserve">  </w:t>
      </w:r>
      <w:r w:rsidR="0021728B">
        <w:t xml:space="preserve">We would welcome Leaders’ thoughts in this regard and </w:t>
      </w:r>
      <w:r>
        <w:t xml:space="preserve">will continue to work with </w:t>
      </w:r>
      <w:r w:rsidR="00581C8B">
        <w:t>all C</w:t>
      </w:r>
      <w:r>
        <w:t xml:space="preserve">ouncils to improve this data and </w:t>
      </w:r>
      <w:r w:rsidR="00A16CCA">
        <w:t>gain</w:t>
      </w:r>
      <w:r>
        <w:t xml:space="preserve"> an accurate picture of non-UK EU/EEA nationals in the Scott</w:t>
      </w:r>
      <w:r w:rsidR="00682DB3">
        <w:t>ish Local Government workforce.</w:t>
      </w:r>
    </w:p>
    <w:p w14:paraId="48E49D51" w14:textId="77777777" w:rsidR="00B419D8" w:rsidRDefault="00B419D8" w:rsidP="00682DB3">
      <w:pPr>
        <w:pStyle w:val="ListNumber"/>
        <w:numPr>
          <w:ilvl w:val="0"/>
          <w:numId w:val="0"/>
        </w:numPr>
        <w:ind w:left="567"/>
      </w:pPr>
    </w:p>
    <w:p w14:paraId="664B330C" w14:textId="77777777" w:rsidR="00B61BC2" w:rsidRDefault="00B61BC2" w:rsidP="00682DB3">
      <w:pPr>
        <w:pStyle w:val="ListNumber"/>
        <w:numPr>
          <w:ilvl w:val="0"/>
          <w:numId w:val="0"/>
        </w:numPr>
        <w:ind w:left="567" w:hanging="567"/>
        <w:rPr>
          <w:b/>
          <w:u w:val="single"/>
        </w:rPr>
      </w:pPr>
    </w:p>
    <w:p w14:paraId="6DF239DC" w14:textId="77777777" w:rsidR="005B48ED" w:rsidRDefault="005B48ED" w:rsidP="00682DB3">
      <w:pPr>
        <w:pStyle w:val="ListNumber"/>
        <w:numPr>
          <w:ilvl w:val="0"/>
          <w:numId w:val="0"/>
        </w:numPr>
        <w:ind w:left="567" w:hanging="567"/>
        <w:rPr>
          <w:b/>
          <w:u w:val="single"/>
        </w:rPr>
      </w:pPr>
    </w:p>
    <w:p w14:paraId="00A29959" w14:textId="582D681C" w:rsidR="00B61BC2" w:rsidRPr="00682DB3" w:rsidRDefault="00B61BC2" w:rsidP="00B61BC2">
      <w:pPr>
        <w:pStyle w:val="ListNumber"/>
        <w:numPr>
          <w:ilvl w:val="0"/>
          <w:numId w:val="0"/>
        </w:numPr>
        <w:ind w:left="567" w:hanging="567"/>
        <w:jc w:val="right"/>
        <w:rPr>
          <w:b/>
        </w:rPr>
      </w:pPr>
      <w:r w:rsidRPr="00682DB3">
        <w:rPr>
          <w:b/>
        </w:rPr>
        <w:t>October 2018</w:t>
      </w:r>
    </w:p>
    <w:p w14:paraId="60FFE9F7" w14:textId="54BF82DE" w:rsidR="00CC521C" w:rsidRDefault="00CC521C" w:rsidP="00B61BC2">
      <w:pPr>
        <w:pStyle w:val="ListNumber"/>
        <w:numPr>
          <w:ilvl w:val="0"/>
          <w:numId w:val="0"/>
        </w:numPr>
        <w:ind w:left="567" w:hanging="567"/>
        <w:jc w:val="right"/>
        <w:rPr>
          <w:b/>
          <w:u w:val="single"/>
        </w:rPr>
      </w:pPr>
    </w:p>
    <w:p w14:paraId="0C9287B3" w14:textId="6C6C8690" w:rsidR="00C6592C" w:rsidRDefault="00C6592C" w:rsidP="00CC521C">
      <w:pPr>
        <w:pStyle w:val="ListNumber"/>
        <w:numPr>
          <w:ilvl w:val="0"/>
          <w:numId w:val="0"/>
        </w:numPr>
        <w:ind w:left="567" w:hanging="567"/>
        <w:rPr>
          <w:b/>
          <w:u w:val="single"/>
        </w:rPr>
      </w:pPr>
    </w:p>
    <w:p w14:paraId="1A73266B" w14:textId="77777777" w:rsidR="00C6592C" w:rsidRDefault="00C6592C" w:rsidP="00CC521C">
      <w:pPr>
        <w:pStyle w:val="ListNumber"/>
        <w:numPr>
          <w:ilvl w:val="0"/>
          <w:numId w:val="0"/>
        </w:numPr>
        <w:ind w:left="567" w:hanging="567"/>
        <w:rPr>
          <w:b/>
          <w:u w:val="single"/>
        </w:rPr>
      </w:pPr>
    </w:p>
    <w:p w14:paraId="2EF4ECF0" w14:textId="05327DBF" w:rsidR="00CC521C" w:rsidRDefault="00CC521C" w:rsidP="00CC521C">
      <w:pPr>
        <w:pStyle w:val="ListNumber"/>
        <w:numPr>
          <w:ilvl w:val="0"/>
          <w:numId w:val="0"/>
        </w:numPr>
        <w:ind w:left="567" w:hanging="567"/>
        <w:rPr>
          <w:b/>
          <w:u w:val="single"/>
        </w:rPr>
      </w:pPr>
    </w:p>
    <w:p w14:paraId="2DA4F49D" w14:textId="2241124D" w:rsidR="001206D3" w:rsidRPr="00B61BC2" w:rsidRDefault="001206D3" w:rsidP="000A0383">
      <w:pPr>
        <w:rPr>
          <w:b/>
          <w:u w:val="single"/>
        </w:rPr>
      </w:pPr>
      <w:bookmarkStart w:id="0" w:name="_GoBack"/>
      <w:bookmarkEnd w:id="0"/>
    </w:p>
    <w:sectPr w:rsidR="001206D3" w:rsidRPr="00B61BC2" w:rsidSect="006D2695">
      <w:footerReference w:type="first" r:id="rId16"/>
      <w:pgSz w:w="11907" w:h="16834"/>
      <w:pgMar w:top="1152" w:right="1022" w:bottom="720" w:left="1282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12D75" w14:textId="77777777" w:rsidR="000A3AEB" w:rsidRDefault="000A3AEB">
      <w:r>
        <w:separator/>
      </w:r>
    </w:p>
  </w:endnote>
  <w:endnote w:type="continuationSeparator" w:id="0">
    <w:p w14:paraId="20B3A0DD" w14:textId="77777777" w:rsidR="000A3AEB" w:rsidRDefault="000A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0C120" w14:textId="77777777" w:rsidR="00B351FF" w:rsidRDefault="00B351FF">
    <w:pPr>
      <w:pStyle w:val="Footer"/>
      <w:spacing w:before="12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if </w:instrText>
    </w:r>
    <w:r>
      <w:rPr>
        <w:sz w:val="16"/>
      </w:rPr>
      <w:fldChar w:fldCharType="begin"/>
    </w:r>
    <w:r>
      <w:rPr>
        <w:sz w:val="16"/>
      </w:rPr>
      <w:instrText xml:space="preserve">page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>="1"</w:instrText>
    </w:r>
    <w:r>
      <w:rPr>
        <w:sz w:val="16"/>
      </w:rPr>
      <w:fldChar w:fldCharType="begin"/>
    </w:r>
    <w:r>
      <w:rPr>
        <w:sz w:val="16"/>
      </w:rPr>
      <w:instrText xml:space="preserve">filename </w:instrText>
    </w:r>
    <w:r>
      <w:rPr>
        <w:sz w:val="16"/>
      </w:rPr>
      <w:fldChar w:fldCharType="separate"/>
    </w:r>
    <w:r w:rsidR="00B61BC2">
      <w:rPr>
        <w:noProof/>
        <w:sz w:val="16"/>
      </w:rPr>
      <w:instrText>Document2</w:instrText>
    </w:r>
    <w:r>
      <w:rPr>
        <w:sz w:val="16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author </w:instrText>
    </w:r>
    <w:r>
      <w:rPr>
        <w:sz w:val="16"/>
      </w:rPr>
      <w:fldChar w:fldCharType="separate"/>
    </w:r>
    <w:r>
      <w:rPr>
        <w:sz w:val="16"/>
      </w:rPr>
      <w:instrText>cosla</w:instrText>
    </w:r>
    <w:r>
      <w:rPr>
        <w:sz w:val="16"/>
      </w:rPr>
      <w:fldChar w:fldCharType="end"/>
    </w:r>
    <w:r>
      <w:rPr>
        <w:sz w:val="16"/>
      </w:rPr>
      <w:instrText xml:space="preserve"> " "</w:instrText>
    </w:r>
    <w:r>
      <w:rPr>
        <w:sz w:val="16"/>
      </w:rPr>
      <w:fldChar w:fldCharType="separate"/>
    </w:r>
    <w:r w:rsidR="00B61BC2">
      <w:rPr>
        <w:noProof/>
        <w:sz w:val="16"/>
      </w:rPr>
      <w:t>Document2</w:t>
    </w:r>
    <w:r>
      <w:rPr>
        <w:sz w:val="16"/>
      </w:rPr>
      <w:fldChar w:fldCharType="end"/>
    </w:r>
    <w:r>
      <w:rPr>
        <w:sz w:val="16"/>
      </w:rPr>
      <w:t xml:space="preserve">  </w:t>
    </w:r>
    <w:r>
      <w:rPr>
        <w:sz w:val="16"/>
      </w:rPr>
      <w:fldChar w:fldCharType="begin"/>
    </w:r>
    <w:r>
      <w:rPr>
        <w:sz w:val="16"/>
      </w:rPr>
      <w:instrText xml:space="preserve">if </w:instrText>
    </w:r>
    <w:r>
      <w:rPr>
        <w:sz w:val="16"/>
      </w:rPr>
      <w:fldChar w:fldCharType="begin"/>
    </w:r>
    <w:r>
      <w:rPr>
        <w:sz w:val="16"/>
      </w:rPr>
      <w:instrText xml:space="preserve">page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="1" </w:instrText>
    </w:r>
    <w:r>
      <w:rPr>
        <w:sz w:val="16"/>
      </w:rPr>
      <w:fldChar w:fldCharType="begin"/>
    </w:r>
    <w:r>
      <w:rPr>
        <w:sz w:val="16"/>
      </w:rPr>
      <w:instrText xml:space="preserve">revnum </w:instrText>
    </w:r>
    <w:r>
      <w:rPr>
        <w:sz w:val="16"/>
      </w:rPr>
      <w:fldChar w:fldCharType="separate"/>
    </w:r>
    <w:r w:rsidR="00B61BC2"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>" "</w:instrText>
    </w:r>
    <w:r>
      <w:rPr>
        <w:sz w:val="16"/>
      </w:rPr>
      <w:fldChar w:fldCharType="separate"/>
    </w:r>
    <w:r w:rsidR="00B61BC2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38251" w14:textId="77777777" w:rsidR="000A3AEB" w:rsidRDefault="000A3AEB">
      <w:r>
        <w:separator/>
      </w:r>
    </w:p>
  </w:footnote>
  <w:footnote w:type="continuationSeparator" w:id="0">
    <w:p w14:paraId="567B535C" w14:textId="77777777" w:rsidR="000A3AEB" w:rsidRDefault="000A3AEB">
      <w:r>
        <w:continuationSeparator/>
      </w:r>
    </w:p>
  </w:footnote>
  <w:footnote w:id="1">
    <w:p w14:paraId="21FDA2F0" w14:textId="77777777" w:rsidR="00C773F8" w:rsidRDefault="00C773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02279">
          <w:rPr>
            <w:rStyle w:val="Hyperlink"/>
          </w:rPr>
          <w:t>https://www.nrscotland.gov.uk/files/statistics/population-estimates/pop-cob-17/pop-cob-nat-17-publication.pdf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32822784"/>
    <w:lvl w:ilvl="0">
      <w:start w:val="1"/>
      <w:numFmt w:val="lowerRoman"/>
      <w:pStyle w:val="ListNumber2"/>
      <w:lvlText w:val="%1."/>
      <w:lvlJc w:val="righ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3366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2A3095"/>
    <w:multiLevelType w:val="hybridMultilevel"/>
    <w:tmpl w:val="05F87496"/>
    <w:lvl w:ilvl="0" w:tplc="019E453A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B95559"/>
    <w:multiLevelType w:val="hybridMultilevel"/>
    <w:tmpl w:val="10000D78"/>
    <w:lvl w:ilvl="0" w:tplc="1A2EC7D8">
      <w:start w:val="1"/>
      <w:numFmt w:val="lowerRoman"/>
      <w:lvlRestart w:val="0"/>
      <w:lvlText w:val="%1."/>
      <w:lvlJc w:val="right"/>
      <w:pPr>
        <w:tabs>
          <w:tab w:val="num" w:pos="641"/>
        </w:tabs>
        <w:ind w:left="641" w:hanging="358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759FF"/>
    <w:multiLevelType w:val="hybridMultilevel"/>
    <w:tmpl w:val="42E6BFE2"/>
    <w:lvl w:ilvl="0" w:tplc="1FAC786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B453E7"/>
    <w:multiLevelType w:val="hybridMultilevel"/>
    <w:tmpl w:val="F964FD88"/>
    <w:lvl w:ilvl="0" w:tplc="6396CB10">
      <w:start w:val="1"/>
      <w:numFmt w:val="lowerRoman"/>
      <w:lvlRestart w:val="0"/>
      <w:lvlText w:val="%1."/>
      <w:lvlJc w:val="right"/>
      <w:pPr>
        <w:tabs>
          <w:tab w:val="num" w:pos="641"/>
        </w:tabs>
        <w:ind w:left="641" w:hanging="358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F7DC3"/>
    <w:multiLevelType w:val="hybridMultilevel"/>
    <w:tmpl w:val="42E6BFE2"/>
    <w:lvl w:ilvl="0" w:tplc="1FAC786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387BB8"/>
    <w:multiLevelType w:val="hybridMultilevel"/>
    <w:tmpl w:val="286A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C3D5A"/>
    <w:multiLevelType w:val="hybridMultilevel"/>
    <w:tmpl w:val="F004606A"/>
    <w:lvl w:ilvl="0" w:tplc="ED0EC436">
      <w:start w:val="1"/>
      <w:numFmt w:val="lowerRoman"/>
      <w:lvlRestart w:val="0"/>
      <w:lvlText w:val="%1."/>
      <w:lvlJc w:val="right"/>
      <w:pPr>
        <w:tabs>
          <w:tab w:val="num" w:pos="641"/>
        </w:tabs>
        <w:ind w:left="641" w:hanging="358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2MzIHMi3MTJV0lIJTi4sz8/NACixqAXr0c1EsAAAA"/>
  </w:docVars>
  <w:rsids>
    <w:rsidRoot w:val="00B61BC2"/>
    <w:rsid w:val="00012DB1"/>
    <w:rsid w:val="00012DF0"/>
    <w:rsid w:val="00040A96"/>
    <w:rsid w:val="00055392"/>
    <w:rsid w:val="00057F48"/>
    <w:rsid w:val="00070377"/>
    <w:rsid w:val="00071298"/>
    <w:rsid w:val="0009082E"/>
    <w:rsid w:val="000A0383"/>
    <w:rsid w:val="000A3AEB"/>
    <w:rsid w:val="000B17B3"/>
    <w:rsid w:val="000C4DC0"/>
    <w:rsid w:val="000D6553"/>
    <w:rsid w:val="000E6763"/>
    <w:rsid w:val="000E72A8"/>
    <w:rsid w:val="000F256D"/>
    <w:rsid w:val="000F5EE9"/>
    <w:rsid w:val="00100CBF"/>
    <w:rsid w:val="00102DA7"/>
    <w:rsid w:val="00106CA3"/>
    <w:rsid w:val="0011161E"/>
    <w:rsid w:val="00113D91"/>
    <w:rsid w:val="001164ED"/>
    <w:rsid w:val="001206D3"/>
    <w:rsid w:val="001332B6"/>
    <w:rsid w:val="001525C1"/>
    <w:rsid w:val="00173FDF"/>
    <w:rsid w:val="00182EE6"/>
    <w:rsid w:val="001855B2"/>
    <w:rsid w:val="0019509A"/>
    <w:rsid w:val="001A5B61"/>
    <w:rsid w:val="001B0209"/>
    <w:rsid w:val="001D28A2"/>
    <w:rsid w:val="001E1DBB"/>
    <w:rsid w:val="001E67DE"/>
    <w:rsid w:val="001E7D98"/>
    <w:rsid w:val="00202A03"/>
    <w:rsid w:val="0020431F"/>
    <w:rsid w:val="002052C2"/>
    <w:rsid w:val="0021728B"/>
    <w:rsid w:val="0022382B"/>
    <w:rsid w:val="002242DB"/>
    <w:rsid w:val="00224852"/>
    <w:rsid w:val="00226BAB"/>
    <w:rsid w:val="002421AD"/>
    <w:rsid w:val="002525C7"/>
    <w:rsid w:val="002557E4"/>
    <w:rsid w:val="0026371F"/>
    <w:rsid w:val="00284B77"/>
    <w:rsid w:val="00286D5E"/>
    <w:rsid w:val="00286EE1"/>
    <w:rsid w:val="00291912"/>
    <w:rsid w:val="002B5D55"/>
    <w:rsid w:val="002B6525"/>
    <w:rsid w:val="002B65BA"/>
    <w:rsid w:val="002C2F78"/>
    <w:rsid w:val="002E397E"/>
    <w:rsid w:val="002E6A98"/>
    <w:rsid w:val="002E755D"/>
    <w:rsid w:val="002E7625"/>
    <w:rsid w:val="00300F09"/>
    <w:rsid w:val="003206B4"/>
    <w:rsid w:val="0035135E"/>
    <w:rsid w:val="00351D3B"/>
    <w:rsid w:val="003533E3"/>
    <w:rsid w:val="00356A55"/>
    <w:rsid w:val="0035769B"/>
    <w:rsid w:val="003577AA"/>
    <w:rsid w:val="00360DFB"/>
    <w:rsid w:val="0037479C"/>
    <w:rsid w:val="003859F7"/>
    <w:rsid w:val="00394638"/>
    <w:rsid w:val="003A2702"/>
    <w:rsid w:val="003A4776"/>
    <w:rsid w:val="003B2E84"/>
    <w:rsid w:val="003D139C"/>
    <w:rsid w:val="003D146A"/>
    <w:rsid w:val="003D1C05"/>
    <w:rsid w:val="003E7422"/>
    <w:rsid w:val="004029A6"/>
    <w:rsid w:val="004106C4"/>
    <w:rsid w:val="00410DFB"/>
    <w:rsid w:val="00411E21"/>
    <w:rsid w:val="004223D1"/>
    <w:rsid w:val="004263E6"/>
    <w:rsid w:val="00430011"/>
    <w:rsid w:val="004451EE"/>
    <w:rsid w:val="004473F6"/>
    <w:rsid w:val="00463766"/>
    <w:rsid w:val="00466B7C"/>
    <w:rsid w:val="00473938"/>
    <w:rsid w:val="00480183"/>
    <w:rsid w:val="0048106A"/>
    <w:rsid w:val="00492A51"/>
    <w:rsid w:val="00494E93"/>
    <w:rsid w:val="004A14CC"/>
    <w:rsid w:val="004A17FB"/>
    <w:rsid w:val="004B0D23"/>
    <w:rsid w:val="004B51DD"/>
    <w:rsid w:val="004B6B05"/>
    <w:rsid w:val="004B7FF9"/>
    <w:rsid w:val="004C3991"/>
    <w:rsid w:val="004C5E8D"/>
    <w:rsid w:val="004C7FB0"/>
    <w:rsid w:val="004F2960"/>
    <w:rsid w:val="00531D9F"/>
    <w:rsid w:val="00532AB1"/>
    <w:rsid w:val="00535BA4"/>
    <w:rsid w:val="005506AE"/>
    <w:rsid w:val="005564DC"/>
    <w:rsid w:val="00557A7A"/>
    <w:rsid w:val="00564329"/>
    <w:rsid w:val="00581C8B"/>
    <w:rsid w:val="00586FBD"/>
    <w:rsid w:val="005A359A"/>
    <w:rsid w:val="005B48ED"/>
    <w:rsid w:val="005B70A8"/>
    <w:rsid w:val="005B72ED"/>
    <w:rsid w:val="005C51CF"/>
    <w:rsid w:val="005E0743"/>
    <w:rsid w:val="005E327C"/>
    <w:rsid w:val="00603DCC"/>
    <w:rsid w:val="006064FB"/>
    <w:rsid w:val="00611116"/>
    <w:rsid w:val="00612FA5"/>
    <w:rsid w:val="0061627C"/>
    <w:rsid w:val="00623181"/>
    <w:rsid w:val="00653437"/>
    <w:rsid w:val="00657B0D"/>
    <w:rsid w:val="00680ED2"/>
    <w:rsid w:val="006827F3"/>
    <w:rsid w:val="00682DB3"/>
    <w:rsid w:val="0068514F"/>
    <w:rsid w:val="006A42C2"/>
    <w:rsid w:val="006C6D5C"/>
    <w:rsid w:val="006D2695"/>
    <w:rsid w:val="006D27A0"/>
    <w:rsid w:val="006D3BE8"/>
    <w:rsid w:val="006D4AEB"/>
    <w:rsid w:val="006E155D"/>
    <w:rsid w:val="006E55B0"/>
    <w:rsid w:val="00702107"/>
    <w:rsid w:val="00714EFE"/>
    <w:rsid w:val="00721461"/>
    <w:rsid w:val="0072315E"/>
    <w:rsid w:val="00723540"/>
    <w:rsid w:val="007273F8"/>
    <w:rsid w:val="00742B43"/>
    <w:rsid w:val="007455D8"/>
    <w:rsid w:val="00754369"/>
    <w:rsid w:val="0076492E"/>
    <w:rsid w:val="0077770C"/>
    <w:rsid w:val="00783C02"/>
    <w:rsid w:val="007B6BAD"/>
    <w:rsid w:val="007C4D60"/>
    <w:rsid w:val="007D108D"/>
    <w:rsid w:val="007E3774"/>
    <w:rsid w:val="007F3B87"/>
    <w:rsid w:val="008059B7"/>
    <w:rsid w:val="00831DAA"/>
    <w:rsid w:val="008347A8"/>
    <w:rsid w:val="008A1AF9"/>
    <w:rsid w:val="008B5014"/>
    <w:rsid w:val="008C7040"/>
    <w:rsid w:val="008D247A"/>
    <w:rsid w:val="008D4651"/>
    <w:rsid w:val="008D4A2B"/>
    <w:rsid w:val="008E49C7"/>
    <w:rsid w:val="008E647A"/>
    <w:rsid w:val="008F0DBB"/>
    <w:rsid w:val="00901E05"/>
    <w:rsid w:val="009038CB"/>
    <w:rsid w:val="00920C61"/>
    <w:rsid w:val="0092660C"/>
    <w:rsid w:val="0093676A"/>
    <w:rsid w:val="00940989"/>
    <w:rsid w:val="00950E81"/>
    <w:rsid w:val="0095666E"/>
    <w:rsid w:val="009740A0"/>
    <w:rsid w:val="00994936"/>
    <w:rsid w:val="009A0156"/>
    <w:rsid w:val="009B1844"/>
    <w:rsid w:val="009C189D"/>
    <w:rsid w:val="009D4462"/>
    <w:rsid w:val="009F6ED3"/>
    <w:rsid w:val="00A14BBC"/>
    <w:rsid w:val="00A16CCA"/>
    <w:rsid w:val="00A26BB5"/>
    <w:rsid w:val="00A5639D"/>
    <w:rsid w:val="00A5783F"/>
    <w:rsid w:val="00A57FBE"/>
    <w:rsid w:val="00A72A49"/>
    <w:rsid w:val="00A826B5"/>
    <w:rsid w:val="00AA0B8D"/>
    <w:rsid w:val="00AA2AF0"/>
    <w:rsid w:val="00AA5525"/>
    <w:rsid w:val="00AA6CF7"/>
    <w:rsid w:val="00AB3136"/>
    <w:rsid w:val="00AB34D9"/>
    <w:rsid w:val="00AC436D"/>
    <w:rsid w:val="00AC46A5"/>
    <w:rsid w:val="00AE0FBE"/>
    <w:rsid w:val="00AE3969"/>
    <w:rsid w:val="00AF101F"/>
    <w:rsid w:val="00AF5F60"/>
    <w:rsid w:val="00B121B8"/>
    <w:rsid w:val="00B15C7A"/>
    <w:rsid w:val="00B23934"/>
    <w:rsid w:val="00B261D0"/>
    <w:rsid w:val="00B34829"/>
    <w:rsid w:val="00B351FF"/>
    <w:rsid w:val="00B36EB3"/>
    <w:rsid w:val="00B419D8"/>
    <w:rsid w:val="00B61BC2"/>
    <w:rsid w:val="00B63D5C"/>
    <w:rsid w:val="00B826B2"/>
    <w:rsid w:val="00BA42BD"/>
    <w:rsid w:val="00BB1607"/>
    <w:rsid w:val="00BC4C1C"/>
    <w:rsid w:val="00BC60EF"/>
    <w:rsid w:val="00BE5E47"/>
    <w:rsid w:val="00BF10D1"/>
    <w:rsid w:val="00BF300B"/>
    <w:rsid w:val="00BF4510"/>
    <w:rsid w:val="00C07974"/>
    <w:rsid w:val="00C24FF3"/>
    <w:rsid w:val="00C26DEE"/>
    <w:rsid w:val="00C3263C"/>
    <w:rsid w:val="00C53C4A"/>
    <w:rsid w:val="00C6592C"/>
    <w:rsid w:val="00C701E8"/>
    <w:rsid w:val="00C74DD5"/>
    <w:rsid w:val="00C773F8"/>
    <w:rsid w:val="00C84866"/>
    <w:rsid w:val="00CA0330"/>
    <w:rsid w:val="00CA7E4A"/>
    <w:rsid w:val="00CC0148"/>
    <w:rsid w:val="00CC521C"/>
    <w:rsid w:val="00CE395C"/>
    <w:rsid w:val="00CE71AC"/>
    <w:rsid w:val="00CF1D2C"/>
    <w:rsid w:val="00CF4DB4"/>
    <w:rsid w:val="00D120EC"/>
    <w:rsid w:val="00D13513"/>
    <w:rsid w:val="00D211E4"/>
    <w:rsid w:val="00D36032"/>
    <w:rsid w:val="00D404B6"/>
    <w:rsid w:val="00D46ABA"/>
    <w:rsid w:val="00D67D89"/>
    <w:rsid w:val="00D77D47"/>
    <w:rsid w:val="00D816A0"/>
    <w:rsid w:val="00D81DE8"/>
    <w:rsid w:val="00D847AF"/>
    <w:rsid w:val="00DB4B23"/>
    <w:rsid w:val="00DE3CC8"/>
    <w:rsid w:val="00DF13EC"/>
    <w:rsid w:val="00DF4D25"/>
    <w:rsid w:val="00E00082"/>
    <w:rsid w:val="00E00CAC"/>
    <w:rsid w:val="00E038ED"/>
    <w:rsid w:val="00E04055"/>
    <w:rsid w:val="00E110B7"/>
    <w:rsid w:val="00E151C4"/>
    <w:rsid w:val="00E20B45"/>
    <w:rsid w:val="00E24CF7"/>
    <w:rsid w:val="00E325D7"/>
    <w:rsid w:val="00E33570"/>
    <w:rsid w:val="00E4136A"/>
    <w:rsid w:val="00E4672D"/>
    <w:rsid w:val="00E552DA"/>
    <w:rsid w:val="00E63450"/>
    <w:rsid w:val="00E63FFA"/>
    <w:rsid w:val="00E71D12"/>
    <w:rsid w:val="00E7408B"/>
    <w:rsid w:val="00E81008"/>
    <w:rsid w:val="00E85B7F"/>
    <w:rsid w:val="00E967A8"/>
    <w:rsid w:val="00EA3118"/>
    <w:rsid w:val="00EA7FCA"/>
    <w:rsid w:val="00EB0FDF"/>
    <w:rsid w:val="00F15640"/>
    <w:rsid w:val="00F24D2B"/>
    <w:rsid w:val="00F4567D"/>
    <w:rsid w:val="00F61970"/>
    <w:rsid w:val="00F635CE"/>
    <w:rsid w:val="00F63DBD"/>
    <w:rsid w:val="00F817FD"/>
    <w:rsid w:val="00F8365C"/>
    <w:rsid w:val="00F8713B"/>
    <w:rsid w:val="00F93E1E"/>
    <w:rsid w:val="00FA285F"/>
    <w:rsid w:val="00FB299F"/>
    <w:rsid w:val="00FB3E67"/>
    <w:rsid w:val="00FB5758"/>
    <w:rsid w:val="00FB61D5"/>
    <w:rsid w:val="00FE07D4"/>
    <w:rsid w:val="00FE572C"/>
    <w:rsid w:val="00FF39DD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BD9A1BB"/>
  <w15:chartTrackingRefBased/>
  <w15:docId w15:val="{1F5FCC3F-0146-0643-BDFD-BBD39DCE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4A2B"/>
    <w:rPr>
      <w:rFonts w:ascii="Arial" w:hAnsi="Arial"/>
      <w:sz w:val="23"/>
      <w:lang w:eastAsia="en-US"/>
    </w:rPr>
  </w:style>
  <w:style w:type="paragraph" w:styleId="Heading1">
    <w:name w:val="heading 1"/>
    <w:basedOn w:val="Normal"/>
    <w:next w:val="Normal"/>
    <w:qFormat/>
    <w:rsid w:val="008D4A2B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D4A2B"/>
    <w:pPr>
      <w:keepNext/>
      <w:ind w:right="57"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4A2B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8D4A2B"/>
    <w:pPr>
      <w:tabs>
        <w:tab w:val="center" w:pos="4819"/>
        <w:tab w:val="right" w:pos="9071"/>
      </w:tabs>
    </w:pPr>
  </w:style>
  <w:style w:type="paragraph" w:customStyle="1" w:styleId="indent">
    <w:name w:val="indent"/>
    <w:basedOn w:val="Normal"/>
    <w:rsid w:val="008D4A2B"/>
    <w:pPr>
      <w:ind w:left="720" w:hanging="720"/>
    </w:pPr>
  </w:style>
  <w:style w:type="paragraph" w:customStyle="1" w:styleId="indent2">
    <w:name w:val="indent2"/>
    <w:basedOn w:val="Normal"/>
    <w:rsid w:val="008D4A2B"/>
    <w:pPr>
      <w:ind w:left="1440" w:hanging="720"/>
    </w:pPr>
  </w:style>
  <w:style w:type="paragraph" w:styleId="ListNumber">
    <w:name w:val="List Number"/>
    <w:basedOn w:val="Normal"/>
    <w:rsid w:val="008D4A2B"/>
    <w:pPr>
      <w:numPr>
        <w:numId w:val="2"/>
      </w:numPr>
      <w:tabs>
        <w:tab w:val="clear" w:pos="360"/>
        <w:tab w:val="left" w:pos="567"/>
      </w:tabs>
      <w:ind w:left="567" w:hanging="567"/>
    </w:pPr>
  </w:style>
  <w:style w:type="paragraph" w:styleId="ListNumber2">
    <w:name w:val="List Number 2"/>
    <w:basedOn w:val="Normal"/>
    <w:rsid w:val="008D4A2B"/>
    <w:pPr>
      <w:numPr>
        <w:numId w:val="4"/>
      </w:numPr>
      <w:spacing w:before="60"/>
      <w:ind w:left="1208" w:hanging="357"/>
    </w:pPr>
  </w:style>
  <w:style w:type="paragraph" w:styleId="BalloonText">
    <w:name w:val="Balloon Text"/>
    <w:basedOn w:val="Normal"/>
    <w:link w:val="BalloonTextChar"/>
    <w:rsid w:val="00721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146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36EB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D2695"/>
    <w:rPr>
      <w:rFonts w:ascii="Arial" w:hAnsi="Arial"/>
      <w:sz w:val="23"/>
      <w:lang w:eastAsia="en-US"/>
    </w:rPr>
  </w:style>
  <w:style w:type="character" w:styleId="CommentReference">
    <w:name w:val="annotation reference"/>
    <w:basedOn w:val="DefaultParagraphFont"/>
    <w:rsid w:val="00040A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A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40A9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40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0A96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rsid w:val="005E0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74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61BC2"/>
  </w:style>
  <w:style w:type="paragraph" w:styleId="FootnoteText">
    <w:name w:val="footnote text"/>
    <w:basedOn w:val="Normal"/>
    <w:link w:val="FootnoteTextChar"/>
    <w:rsid w:val="00C773F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73F8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C773F8"/>
    <w:rPr>
      <w:vertAlign w:val="superscript"/>
    </w:rPr>
  </w:style>
  <w:style w:type="paragraph" w:styleId="Date">
    <w:name w:val="Date"/>
    <w:basedOn w:val="Normal"/>
    <w:next w:val="Normal"/>
    <w:link w:val="DateChar"/>
    <w:rsid w:val="00CC521C"/>
  </w:style>
  <w:style w:type="character" w:customStyle="1" w:styleId="DateChar">
    <w:name w:val="Date Char"/>
    <w:basedOn w:val="DefaultParagraphFont"/>
    <w:link w:val="Date"/>
    <w:rsid w:val="00CC521C"/>
    <w:rPr>
      <w:rFonts w:ascii="Arial" w:hAnsi="Arial"/>
      <w:sz w:val="23"/>
      <w:lang w:eastAsia="en-US"/>
    </w:rPr>
  </w:style>
  <w:style w:type="table" w:styleId="TableGrid">
    <w:name w:val="Table Grid"/>
    <w:basedOn w:val="TableNormal"/>
    <w:uiPriority w:val="39"/>
    <w:rsid w:val="00CC521C"/>
    <w:rPr>
      <w:rFonts w:asciiTheme="minorHAnsi" w:eastAsiaTheme="minorEastAsia" w:hAnsiTheme="minorHAnsi" w:cstheme="minorBidi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CC521C"/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C521C"/>
    <w:rPr>
      <w:rFonts w:asciiTheme="minorHAnsi" w:eastAsiaTheme="minorEastAsia" w:hAnsiTheme="minorHAnsi" w:cstheme="minorBidi"/>
      <w:lang w:eastAsia="zh-CN"/>
    </w:rPr>
  </w:style>
  <w:style w:type="character" w:styleId="EndnoteReference">
    <w:name w:val="endnote reference"/>
    <w:basedOn w:val="DefaultParagraphFont"/>
    <w:uiPriority w:val="99"/>
    <w:unhideWhenUsed/>
    <w:rsid w:val="00CC521C"/>
    <w:rPr>
      <w:vertAlign w:val="superscript"/>
    </w:rPr>
  </w:style>
  <w:style w:type="character" w:styleId="FollowedHyperlink">
    <w:name w:val="FollowedHyperlink"/>
    <w:basedOn w:val="DefaultParagraphFont"/>
    <w:rsid w:val="00F15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orraine@cosla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beta.gov.scot/publications/contribution-non-uk-eu-workers-social-care-workforce-scotland/pages/1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rscotland.gov.uk/files/statistics/population-estimates/pop-cob-17/pop-cob-nat-17-publi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635CDC4-FD21-4C57-8055-4D19BD057FDF">Lorraine Cook</Owner>
    <Document_x0020_TYpe xmlns="3635CDC4-FD21-4C57-8055-4D19BD057FDF">Report</Document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8DBFBAA176044942A701323A128C4" ma:contentTypeVersion="" ma:contentTypeDescription="Create a new document." ma:contentTypeScope="" ma:versionID="181cd54819f159efeabd95d42b4b5be8">
  <xsd:schema xmlns:xsd="http://www.w3.org/2001/XMLSchema" xmlns:xs="http://www.w3.org/2001/XMLSchema" xmlns:p="http://schemas.microsoft.com/office/2006/metadata/properties" xmlns:ns2="3635CDC4-FD21-4C57-8055-4D19BD057FDF" xmlns:ns3="ed5a4896-2da6-4469-a7e1-3f6eab57a1f0" xmlns:ns4="1e34b2d2-d5b0-4445-98c9-e1afca469b06" targetNamespace="http://schemas.microsoft.com/office/2006/metadata/properties" ma:root="true" ma:fieldsID="5cfb0434acca3f44a92743f3386b519e" ns2:_="" ns3:_="" ns4:_="">
    <xsd:import namespace="3635CDC4-FD21-4C57-8055-4D19BD057FDF"/>
    <xsd:import namespace="ed5a4896-2da6-4469-a7e1-3f6eab57a1f0"/>
    <xsd:import namespace="1e34b2d2-d5b0-4445-98c9-e1afca469b06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Document_x0020_TYpe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CDC4-FD21-4C57-8055-4D19BD057FD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internalName="Owner">
      <xsd:simpleType>
        <xsd:restriction base="dms:Text">
          <xsd:maxLength value="255"/>
        </xsd:restriction>
      </xsd:simpleType>
    </xsd:element>
    <xsd:element name="Document_x0020_TYpe" ma:index="9" ma:displayName="Document Type" ma:default="General Document" ma:format="Dropdown" ma:internalName="Document_x0020_TYpe">
      <xsd:simpleType>
        <xsd:union memberTypes="dms:Text">
          <xsd:simpleType>
            <xsd:restriction base="dms:Choice">
              <xsd:enumeration value="Agenda"/>
              <xsd:enumeration value="Appendix"/>
              <xsd:enumeration value="Briefing"/>
              <xsd:enumeration value="Business Planning"/>
              <xsd:enumeration value="Feedback"/>
              <xsd:enumeration value="Form"/>
              <xsd:enumeration value="General Document"/>
              <xsd:enumeration value="Letter"/>
              <xsd:enumeration value="Meeting Note"/>
              <xsd:enumeration value="Meeting Papers"/>
              <xsd:enumeration value="Message Sent"/>
              <xsd:enumeration value="Message Received"/>
              <xsd:enumeration value="Minutes"/>
              <xsd:enumeration value="News Release"/>
              <xsd:enumeration value="Presentation"/>
              <xsd:enumeration value="Proposal"/>
              <xsd:enumeration value="Report"/>
              <xsd:enumeration value="Response"/>
              <xsd:enumeration value="Speech"/>
              <xsd:enumeration value="Spreadsheet Information"/>
              <xsd:enumeration value="Spreadsheet Analysis"/>
              <xsd:enumeration value="Submission/Bi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4896-2da6-4469-a7e1-3f6eab57a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4b2d2-d5b0-4445-98c9-e1afca469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F24FC-4860-428E-9DC8-BCFA738CE56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BA2334F-332D-45B9-BD74-D0CC83C8F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1F2FD-B2E7-48F7-AEE1-07DCD0F0E7D4}">
  <ds:schemaRefs>
    <ds:schemaRef ds:uri="http://schemas.microsoft.com/office/2006/metadata/properties"/>
    <ds:schemaRef ds:uri="http://schemas.microsoft.com/office/infopath/2007/PartnerControls"/>
    <ds:schemaRef ds:uri="3635CDC4-FD21-4C57-8055-4D19BD057FDF"/>
  </ds:schemaRefs>
</ds:datastoreItem>
</file>

<file path=customXml/itemProps4.xml><?xml version="1.0" encoding="utf-8"?>
<ds:datastoreItem xmlns:ds="http://schemas.openxmlformats.org/officeDocument/2006/customXml" ds:itemID="{D1EC36A4-2C00-4BE5-9722-47367FAAF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5CDC4-FD21-4C57-8055-4D19BD057FDF"/>
    <ds:schemaRef ds:uri="ed5a4896-2da6-4469-a7e1-3f6eab57a1f0"/>
    <ds:schemaRef ds:uri="1e34b2d2-d5b0-4445-98c9-e1afca469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B3D203-E657-41A6-AF4D-B4F67979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cosla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Cowan</dc:creator>
  <cp:keywords/>
  <dc:description/>
  <cp:lastModifiedBy>Hannah Ross</cp:lastModifiedBy>
  <cp:revision>3</cp:revision>
  <cp:lastPrinted>2018-07-18T15:36:00Z</cp:lastPrinted>
  <dcterms:created xsi:type="dcterms:W3CDTF">2018-12-07T12:26:00Z</dcterms:created>
  <dcterms:modified xsi:type="dcterms:W3CDTF">2018-12-07T12:27:00Z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0x010100FF18DBFBAA176044942A701323A128C4</vt:lpwstr>
  </property>
</Properties>
</file>