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2C74E" w14:textId="46F268AD" w:rsidR="004B13F0" w:rsidRDefault="009A2148" w:rsidP="00417D4B">
      <w:pPr>
        <w:spacing w:after="0" w:line="240" w:lineRule="auto"/>
        <w:jc w:val="center"/>
        <w:rPr>
          <w:b/>
          <w:color w:val="7030A0"/>
          <w:sz w:val="52"/>
          <w:szCs w:val="28"/>
        </w:rPr>
      </w:pPr>
      <w:bookmarkStart w:id="0" w:name="_GoBack"/>
      <w:bookmarkEnd w:id="0"/>
      <w:r>
        <w:rPr>
          <w:b/>
          <w:color w:val="7030A0"/>
          <w:sz w:val="52"/>
          <w:szCs w:val="28"/>
        </w:rPr>
        <w:t xml:space="preserve">Draft </w:t>
      </w:r>
      <w:r w:rsidRPr="009A2148">
        <w:rPr>
          <w:b/>
          <w:color w:val="7030A0"/>
          <w:sz w:val="52"/>
          <w:szCs w:val="28"/>
        </w:rPr>
        <w:t>EU Withdrawal Agreement</w:t>
      </w:r>
    </w:p>
    <w:p w14:paraId="391D7264" w14:textId="1DDD36FF" w:rsidR="1205AD54" w:rsidRDefault="1205AD54" w:rsidP="1205AD54">
      <w:pPr>
        <w:spacing w:after="0" w:line="240" w:lineRule="auto"/>
        <w:jc w:val="center"/>
      </w:pPr>
      <w:r w:rsidRPr="1205AD54">
        <w:rPr>
          <w:b/>
          <w:bCs/>
          <w:color w:val="7030A0"/>
          <w:sz w:val="52"/>
          <w:szCs w:val="52"/>
        </w:rPr>
        <w:t>COSLA Assessment</w:t>
      </w:r>
    </w:p>
    <w:p w14:paraId="15551FE9" w14:textId="77777777" w:rsidR="00B40B0E" w:rsidRDefault="00B40B0E" w:rsidP="007E11E6">
      <w:pPr>
        <w:spacing w:before="120" w:after="60"/>
        <w:rPr>
          <w:sz w:val="23"/>
          <w:szCs w:val="23"/>
        </w:rPr>
        <w:sectPr w:rsidR="00B40B0E" w:rsidSect="00B40B0E">
          <w:footerReference w:type="default" r:id="rId12"/>
          <w:footerReference w:type="first" r:id="rId13"/>
          <w:type w:val="continuous"/>
          <w:pgSz w:w="11906" w:h="16838"/>
          <w:pgMar w:top="567" w:right="1440" w:bottom="567" w:left="1440" w:header="709" w:footer="114"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016"/>
      </w:tblGrid>
      <w:tr w:rsidR="000A28A8" w:rsidRPr="0075733D" w14:paraId="12DCB892" w14:textId="77777777" w:rsidTr="0010654B">
        <w:tc>
          <w:tcPr>
            <w:tcW w:w="9016" w:type="dxa"/>
            <w:shd w:val="clear" w:color="auto" w:fill="EDEDED" w:themeFill="accent3" w:themeFillTint="33"/>
          </w:tcPr>
          <w:p w14:paraId="0E4EB093" w14:textId="2C5D60BE" w:rsidR="00873329" w:rsidRPr="00515A54" w:rsidRDefault="00873329" w:rsidP="007E11E6">
            <w:pPr>
              <w:spacing w:before="120" w:after="60"/>
              <w:rPr>
                <w:sz w:val="23"/>
                <w:szCs w:val="23"/>
              </w:rPr>
            </w:pPr>
            <w:r w:rsidRPr="00515A54">
              <w:rPr>
                <w:sz w:val="23"/>
                <w:szCs w:val="23"/>
              </w:rPr>
              <w:t>On Tuesday 13 November 2018 the UK and EU27 negotiators agreed the draft of a Withdrawal Agreement (Treaty) between the European Union and the United Kingdom. It is based on the version produced last February so most of the key elements are already known, indeed 80% of the text had already been agreed by both sides before the summer. The current draft translates, in specific legal terms, the broad political agreement (the UK EU Joint Report) agreed last December. An eight-page outline of a political declaration for the future UK-EU27 relationship post Transition is included</w:t>
            </w:r>
            <w:r w:rsidR="00A05D1D" w:rsidRPr="00515A54">
              <w:rPr>
                <w:sz w:val="23"/>
                <w:szCs w:val="23"/>
              </w:rPr>
              <w:t xml:space="preserve"> in the draft</w:t>
            </w:r>
            <w:r w:rsidRPr="00515A54">
              <w:rPr>
                <w:sz w:val="23"/>
                <w:szCs w:val="23"/>
              </w:rPr>
              <w:t xml:space="preserve"> to deal with issues beyond separation itself.</w:t>
            </w:r>
          </w:p>
          <w:p w14:paraId="419EF13B" w14:textId="3F711288" w:rsidR="00873329" w:rsidRPr="00515A54" w:rsidRDefault="00873329" w:rsidP="007E11E6">
            <w:pPr>
              <w:spacing w:before="120" w:after="60"/>
              <w:rPr>
                <w:sz w:val="23"/>
                <w:szCs w:val="23"/>
              </w:rPr>
            </w:pPr>
            <w:r w:rsidRPr="00515A54">
              <w:rPr>
                <w:sz w:val="23"/>
                <w:szCs w:val="23"/>
              </w:rPr>
              <w:t>The draft deals only with the w</w:t>
            </w:r>
            <w:r w:rsidR="00BD7262">
              <w:rPr>
                <w:sz w:val="23"/>
                <w:szCs w:val="23"/>
              </w:rPr>
              <w:t>ithdrawal from EU membership</w:t>
            </w:r>
            <w:r w:rsidR="00690D86">
              <w:rPr>
                <w:sz w:val="23"/>
                <w:szCs w:val="23"/>
              </w:rPr>
              <w:t>,</w:t>
            </w:r>
            <w:r w:rsidR="00BD7262">
              <w:rPr>
                <w:sz w:val="23"/>
                <w:szCs w:val="23"/>
              </w:rPr>
              <w:t xml:space="preserve"> four</w:t>
            </w:r>
            <w:r w:rsidRPr="00515A54">
              <w:rPr>
                <w:sz w:val="23"/>
                <w:szCs w:val="23"/>
              </w:rPr>
              <w:t xml:space="preserve"> months from now</w:t>
            </w:r>
            <w:r w:rsidR="00690D86">
              <w:rPr>
                <w:sz w:val="23"/>
                <w:szCs w:val="23"/>
              </w:rPr>
              <w:t>,</w:t>
            </w:r>
            <w:r w:rsidRPr="00515A54">
              <w:rPr>
                <w:sz w:val="23"/>
                <w:szCs w:val="23"/>
              </w:rPr>
              <w:t xml:space="preserve"> and the Transition/Implementation p</w:t>
            </w:r>
            <w:r w:rsidR="00B25DD8" w:rsidRPr="00515A54">
              <w:rPr>
                <w:sz w:val="23"/>
                <w:szCs w:val="23"/>
              </w:rPr>
              <w:t>eriod until end 2020. I</w:t>
            </w:r>
            <w:r w:rsidRPr="00515A54">
              <w:rPr>
                <w:sz w:val="23"/>
                <w:szCs w:val="23"/>
              </w:rPr>
              <w:t xml:space="preserve">t gives an indication on how open the EU might be to accept “bespoke” provisions to govern </w:t>
            </w:r>
            <w:r w:rsidR="00AD5121" w:rsidRPr="00515A54">
              <w:rPr>
                <w:sz w:val="23"/>
                <w:szCs w:val="23"/>
              </w:rPr>
              <w:t xml:space="preserve">the relationship </w:t>
            </w:r>
            <w:r w:rsidRPr="00515A54">
              <w:rPr>
                <w:sz w:val="23"/>
                <w:szCs w:val="23"/>
              </w:rPr>
              <w:t>between the EU and the UK on certain sectors (services, aviation, transport, security) or areas (Gibraltar and most sensitively Northe</w:t>
            </w:r>
            <w:r w:rsidR="00FA016B" w:rsidRPr="00515A54">
              <w:rPr>
                <w:sz w:val="23"/>
                <w:szCs w:val="23"/>
              </w:rPr>
              <w:t>rn Ireland</w:t>
            </w:r>
            <w:r w:rsidRPr="00515A54">
              <w:rPr>
                <w:sz w:val="23"/>
                <w:szCs w:val="23"/>
              </w:rPr>
              <w:t>). It translates into legal terms the negotiation texts on citizen rights agreed last Autumn between the UK and the EU.</w:t>
            </w:r>
          </w:p>
          <w:p w14:paraId="55F420BD" w14:textId="07D2EDE1" w:rsidR="00873329" w:rsidRPr="00515A54" w:rsidRDefault="00873329" w:rsidP="007E11E6">
            <w:pPr>
              <w:spacing w:before="120" w:after="60"/>
              <w:rPr>
                <w:sz w:val="23"/>
                <w:szCs w:val="23"/>
              </w:rPr>
            </w:pPr>
            <w:r w:rsidRPr="00515A54">
              <w:rPr>
                <w:sz w:val="23"/>
                <w:szCs w:val="23"/>
              </w:rPr>
              <w:t>The draft contains a framework for the future governance arrangements between the UK</w:t>
            </w:r>
            <w:r w:rsidR="00D726AA" w:rsidRPr="00515A54">
              <w:rPr>
                <w:sz w:val="23"/>
                <w:szCs w:val="23"/>
              </w:rPr>
              <w:t xml:space="preserve"> and the EU and how </w:t>
            </w:r>
            <w:r w:rsidRPr="00515A54">
              <w:rPr>
                <w:sz w:val="23"/>
                <w:szCs w:val="23"/>
              </w:rPr>
              <w:t>the UK EU Budget contributions and EU funds</w:t>
            </w:r>
            <w:r w:rsidR="00EC12DC">
              <w:rPr>
                <w:sz w:val="23"/>
                <w:szCs w:val="23"/>
              </w:rPr>
              <w:t>,</w:t>
            </w:r>
            <w:r w:rsidRPr="00515A54">
              <w:rPr>
                <w:sz w:val="23"/>
                <w:szCs w:val="23"/>
              </w:rPr>
              <w:t xml:space="preserve"> </w:t>
            </w:r>
            <w:r w:rsidR="00EC12DC">
              <w:rPr>
                <w:sz w:val="23"/>
                <w:szCs w:val="23"/>
              </w:rPr>
              <w:t>to be spent</w:t>
            </w:r>
            <w:r w:rsidRPr="00515A54">
              <w:rPr>
                <w:sz w:val="23"/>
                <w:szCs w:val="23"/>
              </w:rPr>
              <w:t xml:space="preserve"> in the UK between 2019 and 2023</w:t>
            </w:r>
            <w:r w:rsidR="00EC12DC">
              <w:rPr>
                <w:sz w:val="23"/>
                <w:szCs w:val="23"/>
              </w:rPr>
              <w:t>,</w:t>
            </w:r>
            <w:r w:rsidR="00D726AA" w:rsidRPr="00515A54">
              <w:rPr>
                <w:sz w:val="23"/>
                <w:szCs w:val="23"/>
              </w:rPr>
              <w:t xml:space="preserve"> will be dealt with</w:t>
            </w:r>
            <w:r w:rsidRPr="00515A54">
              <w:rPr>
                <w:sz w:val="23"/>
                <w:szCs w:val="23"/>
              </w:rPr>
              <w:t xml:space="preserve">. It also reiterates that the UK </w:t>
            </w:r>
            <w:r w:rsidR="00A91D99" w:rsidRPr="00515A54">
              <w:rPr>
                <w:sz w:val="23"/>
                <w:szCs w:val="23"/>
              </w:rPr>
              <w:t xml:space="preserve">will </w:t>
            </w:r>
            <w:r w:rsidRPr="00515A54">
              <w:rPr>
                <w:sz w:val="23"/>
                <w:szCs w:val="23"/>
              </w:rPr>
              <w:t xml:space="preserve">only be able to send observers (Ministers, MEPs, </w:t>
            </w:r>
            <w:proofErr w:type="spellStart"/>
            <w:r w:rsidRPr="00515A54">
              <w:rPr>
                <w:sz w:val="23"/>
                <w:szCs w:val="23"/>
              </w:rPr>
              <w:t>CoR</w:t>
            </w:r>
            <w:proofErr w:type="spellEnd"/>
            <w:r w:rsidRPr="00515A54">
              <w:rPr>
                <w:sz w:val="23"/>
                <w:szCs w:val="23"/>
              </w:rPr>
              <w:t xml:space="preserve"> members) to EU meetings in exceptional circumstances, and on an </w:t>
            </w:r>
            <w:r w:rsidRPr="00515A54">
              <w:rPr>
                <w:i/>
                <w:sz w:val="23"/>
                <w:szCs w:val="23"/>
              </w:rPr>
              <w:t>ad hoc</w:t>
            </w:r>
            <w:r w:rsidRPr="00515A54">
              <w:rPr>
                <w:sz w:val="23"/>
                <w:szCs w:val="23"/>
              </w:rPr>
              <w:t xml:space="preserve"> basis where there are UK interests.</w:t>
            </w:r>
          </w:p>
          <w:p w14:paraId="31AFF0B8" w14:textId="030F159E" w:rsidR="00873329" w:rsidRPr="00515A54" w:rsidRDefault="00873329" w:rsidP="007E11E6">
            <w:pPr>
              <w:spacing w:after="60"/>
              <w:rPr>
                <w:b/>
                <w:sz w:val="23"/>
                <w:szCs w:val="23"/>
              </w:rPr>
            </w:pPr>
            <w:r w:rsidRPr="00515A54">
              <w:rPr>
                <w:b/>
                <w:sz w:val="23"/>
                <w:szCs w:val="23"/>
              </w:rPr>
              <w:t xml:space="preserve">There are several challenging areas: </w:t>
            </w:r>
          </w:p>
          <w:p w14:paraId="7856075C" w14:textId="1D06C050" w:rsidR="00AE5AB4" w:rsidRPr="00515A54" w:rsidRDefault="00873329" w:rsidP="007E11E6">
            <w:pPr>
              <w:pStyle w:val="ListParagraph"/>
              <w:numPr>
                <w:ilvl w:val="0"/>
                <w:numId w:val="14"/>
              </w:numPr>
              <w:spacing w:after="60"/>
              <w:contextualSpacing w:val="0"/>
              <w:rPr>
                <w:sz w:val="23"/>
                <w:szCs w:val="23"/>
              </w:rPr>
            </w:pPr>
            <w:r w:rsidRPr="00515A54">
              <w:rPr>
                <w:sz w:val="23"/>
                <w:szCs w:val="23"/>
              </w:rPr>
              <w:t>The possibility of an indefinite transition period including continued UK contributions to the EU budget and a continuing role of the European Court of Justice</w:t>
            </w:r>
            <w:r w:rsidR="00E40721">
              <w:rPr>
                <w:sz w:val="23"/>
                <w:szCs w:val="23"/>
              </w:rPr>
              <w:t xml:space="preserve"> (ECJ)</w:t>
            </w:r>
            <w:r w:rsidRPr="00515A54">
              <w:rPr>
                <w:sz w:val="23"/>
                <w:szCs w:val="23"/>
              </w:rPr>
              <w:t xml:space="preserve"> in cer</w:t>
            </w:r>
            <w:r w:rsidR="00AE5AB4" w:rsidRPr="00515A54">
              <w:rPr>
                <w:sz w:val="23"/>
                <w:szCs w:val="23"/>
              </w:rPr>
              <w:t>tain areas.</w:t>
            </w:r>
          </w:p>
          <w:p w14:paraId="20FB0C9B" w14:textId="5192AA5F" w:rsidR="00AE5AB4" w:rsidRPr="00515A54" w:rsidRDefault="00873329" w:rsidP="007E11E6">
            <w:pPr>
              <w:pStyle w:val="ListParagraph"/>
              <w:numPr>
                <w:ilvl w:val="0"/>
                <w:numId w:val="14"/>
              </w:numPr>
              <w:spacing w:after="60"/>
              <w:contextualSpacing w:val="0"/>
              <w:rPr>
                <w:sz w:val="23"/>
                <w:szCs w:val="23"/>
              </w:rPr>
            </w:pPr>
            <w:r w:rsidRPr="00515A54">
              <w:rPr>
                <w:sz w:val="23"/>
                <w:szCs w:val="23"/>
              </w:rPr>
              <w:t xml:space="preserve">Limitations on </w:t>
            </w:r>
            <w:r w:rsidR="0090721B" w:rsidRPr="00515A54">
              <w:rPr>
                <w:sz w:val="23"/>
                <w:szCs w:val="23"/>
              </w:rPr>
              <w:t xml:space="preserve">the </w:t>
            </w:r>
            <w:r w:rsidRPr="00515A54">
              <w:rPr>
                <w:sz w:val="23"/>
                <w:szCs w:val="23"/>
              </w:rPr>
              <w:t>participation of UK officials in EU decisions, while UK ministers and MEPs will no longer be part of t</w:t>
            </w:r>
            <w:r w:rsidR="00344E61" w:rsidRPr="00515A54">
              <w:rPr>
                <w:sz w:val="23"/>
                <w:szCs w:val="23"/>
              </w:rPr>
              <w:t>he EU from Brexit</w:t>
            </w:r>
            <w:r w:rsidRPr="00515A54">
              <w:rPr>
                <w:sz w:val="23"/>
                <w:szCs w:val="23"/>
              </w:rPr>
              <w:t xml:space="preserve"> day</w:t>
            </w:r>
            <w:r w:rsidR="00344E61" w:rsidRPr="00515A54">
              <w:rPr>
                <w:sz w:val="23"/>
                <w:szCs w:val="23"/>
              </w:rPr>
              <w:t>,</w:t>
            </w:r>
            <w:r w:rsidRPr="00515A54">
              <w:rPr>
                <w:sz w:val="23"/>
                <w:szCs w:val="23"/>
              </w:rPr>
              <w:t xml:space="preserve"> is likely to raise concerns. As is the introduction of the Permanent Court of Arbitration to settle disputes.</w:t>
            </w:r>
          </w:p>
          <w:p w14:paraId="462EEB10" w14:textId="77777777" w:rsidR="00AE5AB4" w:rsidRPr="00515A54" w:rsidRDefault="00873329" w:rsidP="007E11E6">
            <w:pPr>
              <w:pStyle w:val="ListParagraph"/>
              <w:numPr>
                <w:ilvl w:val="0"/>
                <w:numId w:val="14"/>
              </w:numPr>
              <w:spacing w:after="60"/>
              <w:contextualSpacing w:val="0"/>
              <w:rPr>
                <w:sz w:val="23"/>
                <w:szCs w:val="23"/>
              </w:rPr>
            </w:pPr>
            <w:r w:rsidRPr="00515A54">
              <w:rPr>
                <w:sz w:val="23"/>
                <w:szCs w:val="23"/>
              </w:rPr>
              <w:t>Creation of a UK-EU customs area to avoid the challenges associated with the Northern Ireland/Republic of Ireland Border. This would mean that the UK could remain indefinitely in a customs area for goods (not services). The continuation of several all-Ireland arrangements on a range of issues (electricity, phytosanitary controls) is likely to be received with mixed views.</w:t>
            </w:r>
          </w:p>
          <w:p w14:paraId="327A2399" w14:textId="076EF935" w:rsidR="00AE5AB4" w:rsidRPr="00515A54" w:rsidRDefault="00183752" w:rsidP="007E11E6">
            <w:pPr>
              <w:pStyle w:val="ListParagraph"/>
              <w:numPr>
                <w:ilvl w:val="0"/>
                <w:numId w:val="14"/>
              </w:numPr>
              <w:spacing w:after="60"/>
              <w:contextualSpacing w:val="0"/>
              <w:rPr>
                <w:sz w:val="23"/>
                <w:szCs w:val="23"/>
              </w:rPr>
            </w:pPr>
            <w:r>
              <w:rPr>
                <w:sz w:val="23"/>
                <w:szCs w:val="23"/>
              </w:rPr>
              <w:t>The draft D</w:t>
            </w:r>
            <w:r w:rsidR="00873329" w:rsidRPr="00515A54">
              <w:rPr>
                <w:sz w:val="23"/>
                <w:szCs w:val="23"/>
              </w:rPr>
              <w:t>eclaration may be considered too short and lacking in specificity. Unless it is developed between</w:t>
            </w:r>
            <w:r w:rsidR="00487379">
              <w:rPr>
                <w:sz w:val="23"/>
                <w:szCs w:val="23"/>
              </w:rPr>
              <w:t xml:space="preserve"> now and the 14</w:t>
            </w:r>
            <w:r w:rsidR="00873329" w:rsidRPr="00515A54">
              <w:rPr>
                <w:sz w:val="23"/>
                <w:szCs w:val="23"/>
              </w:rPr>
              <w:t xml:space="preserve"> December Summit, many sectors (aviation, financial services, participation in EU agencies) might feel that it does not provide sufficient reassurance</w:t>
            </w:r>
            <w:r w:rsidR="00C80650" w:rsidRPr="00515A54">
              <w:rPr>
                <w:sz w:val="23"/>
                <w:szCs w:val="23"/>
              </w:rPr>
              <w:t>s for the</w:t>
            </w:r>
            <w:r w:rsidR="00873329" w:rsidRPr="00515A54">
              <w:rPr>
                <w:sz w:val="23"/>
                <w:szCs w:val="23"/>
              </w:rPr>
              <w:t xml:space="preserve"> post Transition period.</w:t>
            </w:r>
          </w:p>
          <w:p w14:paraId="12435876" w14:textId="284DD0AE" w:rsidR="00B40B0E" w:rsidRDefault="00873329" w:rsidP="00B40B0E">
            <w:pPr>
              <w:pStyle w:val="ListParagraph"/>
              <w:numPr>
                <w:ilvl w:val="0"/>
                <w:numId w:val="14"/>
              </w:numPr>
              <w:spacing w:after="60"/>
              <w:contextualSpacing w:val="0"/>
              <w:rPr>
                <w:sz w:val="23"/>
                <w:szCs w:val="23"/>
              </w:rPr>
            </w:pPr>
            <w:r w:rsidRPr="00515A54">
              <w:rPr>
                <w:sz w:val="23"/>
                <w:szCs w:val="23"/>
              </w:rPr>
              <w:t>Uncertainty over whether EU27 citizens entering the UK post Brexit will have the same rights as those already residing in the UK prior to the date of Withdrawal. A likely trade off might be that UK citizens residing in one Member State will have their rights extended t</w:t>
            </w:r>
            <w:r w:rsidR="00183752">
              <w:rPr>
                <w:sz w:val="23"/>
                <w:szCs w:val="23"/>
              </w:rPr>
              <w:t>o all EU27 states in exchange for</w:t>
            </w:r>
            <w:r w:rsidRPr="00515A54">
              <w:rPr>
                <w:sz w:val="23"/>
                <w:szCs w:val="23"/>
              </w:rPr>
              <w:t xml:space="preserve"> a simple declaratory procedure with the Home Office to deal with settled status.</w:t>
            </w:r>
          </w:p>
          <w:p w14:paraId="32D2C1A2" w14:textId="7A03E370" w:rsidR="00B40B0E" w:rsidRDefault="00B40B0E" w:rsidP="00B40B0E">
            <w:pPr>
              <w:spacing w:after="60"/>
              <w:rPr>
                <w:sz w:val="23"/>
                <w:szCs w:val="23"/>
              </w:rPr>
            </w:pPr>
          </w:p>
          <w:p w14:paraId="02393508" w14:textId="77777777" w:rsidR="00B40B0E" w:rsidRPr="00B40B0E" w:rsidRDefault="00B40B0E" w:rsidP="00B40B0E">
            <w:pPr>
              <w:spacing w:after="60"/>
              <w:rPr>
                <w:sz w:val="23"/>
                <w:szCs w:val="23"/>
              </w:rPr>
            </w:pPr>
          </w:p>
          <w:p w14:paraId="146358FC" w14:textId="15B40797" w:rsidR="00AE5AB4" w:rsidRPr="00515A54" w:rsidRDefault="00873329" w:rsidP="007E11E6">
            <w:pPr>
              <w:spacing w:after="60"/>
              <w:rPr>
                <w:b/>
                <w:sz w:val="23"/>
                <w:szCs w:val="23"/>
              </w:rPr>
            </w:pPr>
            <w:r w:rsidRPr="00515A54">
              <w:rPr>
                <w:b/>
                <w:sz w:val="23"/>
                <w:szCs w:val="23"/>
              </w:rPr>
              <w:lastRenderedPageBreak/>
              <w:t>The draft Withdrawal Agreement (and the draft Declaration) does not include:</w:t>
            </w:r>
          </w:p>
          <w:p w14:paraId="08E0C975" w14:textId="1E9A9A6F" w:rsidR="00AE5AB4" w:rsidRPr="00515A54" w:rsidRDefault="00873329" w:rsidP="007E11E6">
            <w:pPr>
              <w:pStyle w:val="ListParagraph"/>
              <w:numPr>
                <w:ilvl w:val="0"/>
                <w:numId w:val="15"/>
              </w:numPr>
              <w:spacing w:after="60"/>
              <w:contextualSpacing w:val="0"/>
              <w:rPr>
                <w:sz w:val="23"/>
                <w:szCs w:val="23"/>
              </w:rPr>
            </w:pPr>
            <w:r w:rsidRPr="00515A54">
              <w:rPr>
                <w:sz w:val="23"/>
                <w:szCs w:val="23"/>
              </w:rPr>
              <w:t>Detail on the issue of distribution of EU returned powers / Common Frameworks and joint UK-wide bodies.</w:t>
            </w:r>
          </w:p>
          <w:p w14:paraId="69A6D619" w14:textId="13F70459" w:rsidR="00AE5AB4" w:rsidRPr="00515A54" w:rsidRDefault="00873329" w:rsidP="007E11E6">
            <w:pPr>
              <w:pStyle w:val="ListParagraph"/>
              <w:numPr>
                <w:ilvl w:val="0"/>
                <w:numId w:val="15"/>
              </w:numPr>
              <w:spacing w:after="60"/>
              <w:contextualSpacing w:val="0"/>
              <w:rPr>
                <w:sz w:val="23"/>
                <w:szCs w:val="23"/>
              </w:rPr>
            </w:pPr>
            <w:r w:rsidRPr="00515A54">
              <w:rPr>
                <w:sz w:val="23"/>
                <w:szCs w:val="23"/>
              </w:rPr>
              <w:t xml:space="preserve">Even if agreed, the EU deal will not make the EU Withdrawal Act </w:t>
            </w:r>
            <w:r w:rsidR="00690D86">
              <w:rPr>
                <w:sz w:val="23"/>
                <w:szCs w:val="23"/>
              </w:rPr>
              <w:t>‘</w:t>
            </w:r>
            <w:r w:rsidRPr="00515A54">
              <w:rPr>
                <w:sz w:val="23"/>
                <w:szCs w:val="23"/>
              </w:rPr>
              <w:t>go away</w:t>
            </w:r>
            <w:r w:rsidR="00690D86">
              <w:rPr>
                <w:sz w:val="23"/>
                <w:szCs w:val="23"/>
              </w:rPr>
              <w:t>’</w:t>
            </w:r>
            <w:r w:rsidRPr="00515A54">
              <w:rPr>
                <w:sz w:val="23"/>
                <w:szCs w:val="23"/>
              </w:rPr>
              <w:t>. The UK Supreme Court is about to issue a very consequential ruling on this Act and on the Scottish Legal Continuity Act which will impact the existing constitutional settlement of the UK.</w:t>
            </w:r>
          </w:p>
          <w:p w14:paraId="57402847" w14:textId="77777777" w:rsidR="00AE5AB4" w:rsidRPr="00515A54" w:rsidRDefault="00873329" w:rsidP="007E11E6">
            <w:pPr>
              <w:pStyle w:val="ListParagraph"/>
              <w:numPr>
                <w:ilvl w:val="0"/>
                <w:numId w:val="15"/>
              </w:numPr>
              <w:spacing w:after="60"/>
              <w:contextualSpacing w:val="0"/>
              <w:rPr>
                <w:sz w:val="23"/>
                <w:szCs w:val="23"/>
              </w:rPr>
            </w:pPr>
            <w:r w:rsidRPr="00515A54">
              <w:rPr>
                <w:sz w:val="23"/>
                <w:szCs w:val="23"/>
              </w:rPr>
              <w:t xml:space="preserve">Replacement of EU funds -  the Withdrawal Agreement gives a legally binding guarantee that current EU funds will continue as present until their natural end in 2020. </w:t>
            </w:r>
          </w:p>
          <w:p w14:paraId="5007CAAD" w14:textId="7B44947C" w:rsidR="00AE5AB4" w:rsidRPr="00515A54" w:rsidRDefault="00183752" w:rsidP="007E11E6">
            <w:pPr>
              <w:pStyle w:val="ListParagraph"/>
              <w:numPr>
                <w:ilvl w:val="0"/>
                <w:numId w:val="15"/>
              </w:numPr>
              <w:spacing w:after="60"/>
              <w:contextualSpacing w:val="0"/>
              <w:rPr>
                <w:sz w:val="23"/>
                <w:szCs w:val="23"/>
              </w:rPr>
            </w:pPr>
            <w:r>
              <w:rPr>
                <w:sz w:val="23"/>
                <w:szCs w:val="23"/>
              </w:rPr>
              <w:t>C</w:t>
            </w:r>
            <w:r w:rsidR="00873329" w:rsidRPr="00515A54">
              <w:rPr>
                <w:sz w:val="23"/>
                <w:szCs w:val="23"/>
              </w:rPr>
              <w:t>ertainty over how the UK will formulate negotiation positions for the EU-UK relationship and other trade deals.</w:t>
            </w:r>
          </w:p>
          <w:p w14:paraId="2F7E1447" w14:textId="1EA967F2" w:rsidR="000A28A8" w:rsidRPr="00AE5AB4" w:rsidRDefault="00873329" w:rsidP="007E11E6">
            <w:pPr>
              <w:pStyle w:val="ListParagraph"/>
              <w:numPr>
                <w:ilvl w:val="0"/>
                <w:numId w:val="15"/>
              </w:numPr>
              <w:spacing w:after="60"/>
              <w:contextualSpacing w:val="0"/>
              <w:rPr>
                <w:sz w:val="24"/>
                <w:szCs w:val="24"/>
              </w:rPr>
            </w:pPr>
            <w:r w:rsidRPr="00515A54">
              <w:rPr>
                <w:sz w:val="23"/>
                <w:szCs w:val="23"/>
              </w:rPr>
              <w:t>Cl</w:t>
            </w:r>
            <w:r w:rsidR="00A538C5" w:rsidRPr="00515A54">
              <w:rPr>
                <w:sz w:val="23"/>
                <w:szCs w:val="23"/>
              </w:rPr>
              <w:t>arity on continued cooperation (</w:t>
            </w:r>
            <w:r w:rsidRPr="00515A54">
              <w:rPr>
                <w:sz w:val="23"/>
                <w:szCs w:val="23"/>
              </w:rPr>
              <w:t xml:space="preserve">COSLA is supportive of continuing political dialogue at the EU level through a </w:t>
            </w:r>
            <w:proofErr w:type="spellStart"/>
            <w:r w:rsidRPr="00515A54">
              <w:rPr>
                <w:sz w:val="23"/>
                <w:szCs w:val="23"/>
              </w:rPr>
              <w:t>CoR</w:t>
            </w:r>
            <w:proofErr w:type="spellEnd"/>
            <w:r w:rsidRPr="00515A54">
              <w:rPr>
                <w:sz w:val="23"/>
                <w:szCs w:val="23"/>
              </w:rPr>
              <w:t xml:space="preserve"> UK Joint Committee</w:t>
            </w:r>
            <w:r w:rsidR="00A538C5" w:rsidRPr="00515A54">
              <w:rPr>
                <w:sz w:val="23"/>
                <w:szCs w:val="23"/>
              </w:rPr>
              <w:t>)</w:t>
            </w:r>
            <w:r w:rsidRPr="00515A54">
              <w:rPr>
                <w:sz w:val="23"/>
                <w:szCs w:val="23"/>
              </w:rPr>
              <w:t>.</w:t>
            </w:r>
          </w:p>
        </w:tc>
      </w:tr>
    </w:tbl>
    <w:p w14:paraId="11AA8D1C" w14:textId="0F2E9BA5" w:rsidR="002228E7" w:rsidRPr="002228E7" w:rsidRDefault="007B224B" w:rsidP="007D7BD9">
      <w:pPr>
        <w:spacing w:before="120" w:after="0"/>
        <w:jc w:val="center"/>
        <w:rPr>
          <w:b/>
          <w:sz w:val="52"/>
          <w:szCs w:val="28"/>
        </w:rPr>
      </w:pPr>
      <w:r>
        <w:rPr>
          <w:b/>
          <w:color w:val="7030A0"/>
          <w:sz w:val="52"/>
          <w:szCs w:val="28"/>
        </w:rPr>
        <w:lastRenderedPageBreak/>
        <w:t>Citizen</w:t>
      </w:r>
      <w:r w:rsidR="00B83F6D">
        <w:rPr>
          <w:b/>
          <w:color w:val="7030A0"/>
          <w:sz w:val="52"/>
          <w:szCs w:val="28"/>
        </w:rPr>
        <w:t>s</w:t>
      </w:r>
    </w:p>
    <w:tbl>
      <w:tblPr>
        <w:tblStyle w:val="TableGrid"/>
        <w:tblW w:w="0" w:type="auto"/>
        <w:tblLook w:val="04A0" w:firstRow="1" w:lastRow="0" w:firstColumn="1" w:lastColumn="0" w:noHBand="0" w:noVBand="1"/>
      </w:tblPr>
      <w:tblGrid>
        <w:gridCol w:w="9016"/>
      </w:tblGrid>
      <w:tr w:rsidR="00AD003D" w:rsidRPr="0075733D" w14:paraId="3282FD59" w14:textId="77777777" w:rsidTr="00D8053C">
        <w:tc>
          <w:tcPr>
            <w:tcW w:w="9016" w:type="dxa"/>
            <w:tcBorders>
              <w:top w:val="nil"/>
              <w:left w:val="nil"/>
              <w:bottom w:val="nil"/>
              <w:right w:val="nil"/>
            </w:tcBorders>
            <w:shd w:val="clear" w:color="auto" w:fill="D9E2F3" w:themeFill="accent1" w:themeFillTint="33"/>
          </w:tcPr>
          <w:p w14:paraId="19B371B2" w14:textId="6E800088" w:rsidR="00D8053C" w:rsidRPr="0075733D" w:rsidRDefault="007B224B" w:rsidP="003A5456">
            <w:pPr>
              <w:spacing w:after="60"/>
              <w:jc w:val="center"/>
              <w:rPr>
                <w:b/>
                <w:bCs/>
                <w:sz w:val="24"/>
                <w:szCs w:val="24"/>
              </w:rPr>
            </w:pPr>
            <w:r>
              <w:rPr>
                <w:b/>
                <w:bCs/>
                <w:sz w:val="24"/>
                <w:szCs w:val="24"/>
              </w:rPr>
              <w:t>Key Elements</w:t>
            </w:r>
          </w:p>
          <w:p w14:paraId="2519C537" w14:textId="448C3A1E" w:rsidR="007B224B" w:rsidRPr="00515A54" w:rsidRDefault="007B224B" w:rsidP="007E11E6">
            <w:pPr>
              <w:pStyle w:val="ListParagraph"/>
              <w:numPr>
                <w:ilvl w:val="0"/>
                <w:numId w:val="16"/>
              </w:numPr>
              <w:spacing w:after="120"/>
              <w:rPr>
                <w:sz w:val="23"/>
                <w:szCs w:val="23"/>
              </w:rPr>
            </w:pPr>
            <w:r w:rsidRPr="00515A54">
              <w:rPr>
                <w:sz w:val="23"/>
                <w:szCs w:val="23"/>
              </w:rPr>
              <w:t xml:space="preserve">Broadly agreed before the December Summit the draft covers pensions, social security, residence status, employment, self-employment, professional qualifications and family reunification. It translates separate documents </w:t>
            </w:r>
            <w:r w:rsidR="00CE4E3B" w:rsidRPr="00515A54">
              <w:rPr>
                <w:sz w:val="23"/>
                <w:szCs w:val="23"/>
              </w:rPr>
              <w:t xml:space="preserve">on each of these areas </w:t>
            </w:r>
            <w:r w:rsidRPr="00515A54">
              <w:rPr>
                <w:sz w:val="23"/>
                <w:szCs w:val="23"/>
              </w:rPr>
              <w:t>and the EU-UK Joint Technical note tabled last</w:t>
            </w:r>
            <w:r w:rsidR="0025238B" w:rsidRPr="00515A54">
              <w:rPr>
                <w:sz w:val="23"/>
                <w:szCs w:val="23"/>
              </w:rPr>
              <w:t xml:space="preserve"> December</w:t>
            </w:r>
            <w:r w:rsidRPr="00515A54">
              <w:rPr>
                <w:sz w:val="23"/>
                <w:szCs w:val="23"/>
              </w:rPr>
              <w:t>.</w:t>
            </w:r>
          </w:p>
          <w:p w14:paraId="316BA5D2" w14:textId="5EE1818B" w:rsidR="007B224B" w:rsidRPr="00515A54" w:rsidRDefault="007B224B" w:rsidP="007E11E6">
            <w:pPr>
              <w:pStyle w:val="ListParagraph"/>
              <w:numPr>
                <w:ilvl w:val="0"/>
                <w:numId w:val="16"/>
              </w:numPr>
              <w:spacing w:after="120"/>
              <w:rPr>
                <w:sz w:val="23"/>
                <w:szCs w:val="23"/>
              </w:rPr>
            </w:pPr>
            <w:r w:rsidRPr="00515A54">
              <w:rPr>
                <w:sz w:val="23"/>
                <w:szCs w:val="23"/>
              </w:rPr>
              <w:t xml:space="preserve">Free movement and </w:t>
            </w:r>
            <w:r w:rsidR="008B1255">
              <w:rPr>
                <w:sz w:val="23"/>
                <w:szCs w:val="23"/>
              </w:rPr>
              <w:t>ECJ</w:t>
            </w:r>
            <w:r w:rsidRPr="00515A54">
              <w:rPr>
                <w:sz w:val="23"/>
                <w:szCs w:val="23"/>
              </w:rPr>
              <w:t xml:space="preserve"> enforcement does not change during the Transition period. The draft includes reference to more people (spouses, civil and unmarried partners, dependent children and grandchildren, and dependent parents and grandparents, trans frontier workers) resided in either the UK or the EU27 (“the host state”) by 31 December 2020 and extends their existing rights beyond that date.</w:t>
            </w:r>
          </w:p>
          <w:p w14:paraId="700BF664" w14:textId="0954FAFF" w:rsidR="007B224B" w:rsidRPr="00515A54" w:rsidRDefault="007B224B" w:rsidP="007E11E6">
            <w:pPr>
              <w:pStyle w:val="ListParagraph"/>
              <w:numPr>
                <w:ilvl w:val="0"/>
                <w:numId w:val="16"/>
              </w:numPr>
              <w:spacing w:after="120"/>
              <w:rPr>
                <w:sz w:val="23"/>
                <w:szCs w:val="23"/>
              </w:rPr>
            </w:pPr>
            <w:r w:rsidRPr="00515A54">
              <w:rPr>
                <w:sz w:val="23"/>
                <w:szCs w:val="23"/>
              </w:rPr>
              <w:t>Mirroring the UK migration proposals, both UK and EU27 citizens that are not yet resided continuously and lawfully for five years in their host state by the end of the implementation period will also be able to stay until they have reached the five-year threshold.</w:t>
            </w:r>
          </w:p>
          <w:p w14:paraId="7082AA15" w14:textId="605D5FB0" w:rsidR="007B224B" w:rsidRPr="00515A54" w:rsidRDefault="00905C63" w:rsidP="007E11E6">
            <w:pPr>
              <w:pStyle w:val="ListParagraph"/>
              <w:numPr>
                <w:ilvl w:val="0"/>
                <w:numId w:val="16"/>
              </w:numPr>
              <w:spacing w:after="120"/>
              <w:rPr>
                <w:sz w:val="23"/>
                <w:szCs w:val="23"/>
              </w:rPr>
            </w:pPr>
            <w:r w:rsidRPr="00515A54">
              <w:rPr>
                <w:sz w:val="23"/>
                <w:szCs w:val="23"/>
              </w:rPr>
              <w:t>C</w:t>
            </w:r>
            <w:r w:rsidR="007B224B" w:rsidRPr="00515A54">
              <w:rPr>
                <w:sz w:val="23"/>
                <w:szCs w:val="23"/>
              </w:rPr>
              <w:t>onfirms that all the rights for EU and UK nationals covered by this Agreement would be lifelong.</w:t>
            </w:r>
          </w:p>
          <w:p w14:paraId="5B3F9D50" w14:textId="5FC3E68E" w:rsidR="00AD003D" w:rsidRPr="007B224B" w:rsidRDefault="007B224B" w:rsidP="007E11E6">
            <w:pPr>
              <w:pStyle w:val="ListParagraph"/>
              <w:numPr>
                <w:ilvl w:val="0"/>
                <w:numId w:val="16"/>
              </w:numPr>
              <w:spacing w:after="120"/>
              <w:rPr>
                <w:sz w:val="24"/>
                <w:szCs w:val="24"/>
              </w:rPr>
            </w:pPr>
            <w:r w:rsidRPr="00515A54">
              <w:rPr>
                <w:sz w:val="23"/>
                <w:szCs w:val="23"/>
              </w:rPr>
              <w:t>For UK nationals in EU27, their rights are restricted to the “host state”. In short, freedom of movement across the EU27 is not recognised, though the UK has indicated that it will press for this to be agreed as part of the future relationship talks.</w:t>
            </w:r>
          </w:p>
        </w:tc>
      </w:tr>
    </w:tbl>
    <w:p w14:paraId="2334E29A" w14:textId="281784E6" w:rsidR="00956816" w:rsidRPr="002228E7" w:rsidRDefault="00956816" w:rsidP="007D7BD9">
      <w:pPr>
        <w:spacing w:before="120" w:after="0"/>
        <w:jc w:val="center"/>
        <w:rPr>
          <w:b/>
          <w:sz w:val="52"/>
          <w:szCs w:val="28"/>
        </w:rPr>
      </w:pPr>
      <w:r>
        <w:rPr>
          <w:b/>
          <w:color w:val="7030A0"/>
          <w:sz w:val="52"/>
          <w:szCs w:val="28"/>
        </w:rPr>
        <w:t>Governance</w:t>
      </w:r>
    </w:p>
    <w:tbl>
      <w:tblPr>
        <w:tblStyle w:val="TableGrid"/>
        <w:tblW w:w="0" w:type="auto"/>
        <w:tblLook w:val="04A0" w:firstRow="1" w:lastRow="0" w:firstColumn="1" w:lastColumn="0" w:noHBand="0" w:noVBand="1"/>
      </w:tblPr>
      <w:tblGrid>
        <w:gridCol w:w="9016"/>
      </w:tblGrid>
      <w:tr w:rsidR="00956816" w:rsidRPr="0075733D" w14:paraId="664F64C0" w14:textId="77777777" w:rsidTr="00D4768C">
        <w:tc>
          <w:tcPr>
            <w:tcW w:w="9016" w:type="dxa"/>
            <w:tcBorders>
              <w:top w:val="nil"/>
              <w:left w:val="nil"/>
              <w:bottom w:val="nil"/>
              <w:right w:val="nil"/>
            </w:tcBorders>
            <w:shd w:val="clear" w:color="auto" w:fill="D9E2F3" w:themeFill="accent1" w:themeFillTint="33"/>
          </w:tcPr>
          <w:p w14:paraId="3EE5E8B1" w14:textId="77777777" w:rsidR="00956816" w:rsidRPr="0075733D" w:rsidRDefault="00956816" w:rsidP="00D4768C">
            <w:pPr>
              <w:spacing w:after="60"/>
              <w:jc w:val="center"/>
              <w:rPr>
                <w:b/>
                <w:bCs/>
                <w:sz w:val="24"/>
                <w:szCs w:val="24"/>
              </w:rPr>
            </w:pPr>
            <w:r>
              <w:rPr>
                <w:b/>
                <w:bCs/>
                <w:sz w:val="24"/>
                <w:szCs w:val="24"/>
              </w:rPr>
              <w:t>Key Elements</w:t>
            </w:r>
          </w:p>
          <w:p w14:paraId="151C915D" w14:textId="47F228E3" w:rsidR="00956816" w:rsidRPr="00515A54" w:rsidRDefault="00956816" w:rsidP="007E11E6">
            <w:pPr>
              <w:pStyle w:val="ListParagraph"/>
              <w:numPr>
                <w:ilvl w:val="0"/>
                <w:numId w:val="17"/>
              </w:numPr>
              <w:spacing w:after="60"/>
              <w:ind w:left="360"/>
              <w:contextualSpacing w:val="0"/>
              <w:rPr>
                <w:rFonts w:cs="Arial"/>
                <w:sz w:val="23"/>
                <w:szCs w:val="23"/>
              </w:rPr>
            </w:pPr>
            <w:r w:rsidRPr="00515A54">
              <w:rPr>
                <w:rFonts w:cs="Arial"/>
                <w:sz w:val="23"/>
                <w:szCs w:val="23"/>
              </w:rPr>
              <w:t xml:space="preserve">A Joint Committee made up of UK and EU officials will be created. This is the same structure that applies to the Canada-EU Treaty and others. It will meet at least once a year; probably more often. </w:t>
            </w:r>
            <w:r w:rsidR="000A4C08" w:rsidRPr="00515A54">
              <w:rPr>
                <w:rFonts w:cs="Arial"/>
                <w:sz w:val="23"/>
                <w:szCs w:val="23"/>
              </w:rPr>
              <w:t>There will be</w:t>
            </w:r>
            <w:r w:rsidRPr="00515A54">
              <w:rPr>
                <w:rFonts w:cs="Arial"/>
                <w:sz w:val="23"/>
                <w:szCs w:val="23"/>
              </w:rPr>
              <w:t xml:space="preserve"> several specialised (sub) committees (citizen rights, other issues, Ireland, Cyprus RAF bases, financial issues). This might indicate EU priorities moving forward.</w:t>
            </w:r>
          </w:p>
          <w:p w14:paraId="04016612" w14:textId="77777777" w:rsidR="00956816" w:rsidRPr="00515A54" w:rsidRDefault="00956816" w:rsidP="007E11E6">
            <w:pPr>
              <w:pStyle w:val="ListParagraph"/>
              <w:numPr>
                <w:ilvl w:val="0"/>
                <w:numId w:val="17"/>
              </w:numPr>
              <w:spacing w:after="60"/>
              <w:ind w:left="360"/>
              <w:contextualSpacing w:val="0"/>
              <w:rPr>
                <w:rFonts w:cs="Arial"/>
                <w:sz w:val="23"/>
                <w:szCs w:val="23"/>
              </w:rPr>
            </w:pPr>
            <w:r w:rsidRPr="00515A54">
              <w:rPr>
                <w:rFonts w:cs="Arial"/>
                <w:sz w:val="23"/>
                <w:szCs w:val="23"/>
              </w:rPr>
              <w:t>The Joint Committee will be the first instance for</w:t>
            </w:r>
            <w:r w:rsidRPr="00515A54">
              <w:rPr>
                <w:rFonts w:cs="Arial"/>
                <w:b/>
                <w:sz w:val="23"/>
                <w:szCs w:val="23"/>
              </w:rPr>
              <w:t xml:space="preserve"> dispute settlement. </w:t>
            </w:r>
            <w:r w:rsidRPr="00515A54">
              <w:rPr>
                <w:rFonts w:cs="Arial"/>
                <w:sz w:val="23"/>
                <w:szCs w:val="23"/>
              </w:rPr>
              <w:t>It is most likely that this joint body will carry on for the post Brexit Treaty as well.</w:t>
            </w:r>
          </w:p>
          <w:p w14:paraId="44B56661" w14:textId="5248D7ED" w:rsidR="00956816" w:rsidRPr="00515A54" w:rsidRDefault="00956816" w:rsidP="007E11E6">
            <w:pPr>
              <w:pStyle w:val="ListParagraph"/>
              <w:numPr>
                <w:ilvl w:val="0"/>
                <w:numId w:val="17"/>
              </w:numPr>
              <w:spacing w:after="60"/>
              <w:ind w:left="360"/>
              <w:contextualSpacing w:val="0"/>
              <w:rPr>
                <w:rFonts w:cs="Arial"/>
                <w:sz w:val="23"/>
                <w:szCs w:val="23"/>
              </w:rPr>
            </w:pPr>
            <w:r w:rsidRPr="00515A54">
              <w:rPr>
                <w:rFonts w:cs="Arial"/>
                <w:sz w:val="23"/>
                <w:szCs w:val="23"/>
              </w:rPr>
              <w:t xml:space="preserve">The European Court of Justice continues to retain the role of last arbiter on matters pertaining </w:t>
            </w:r>
            <w:r w:rsidR="00BE0C21">
              <w:rPr>
                <w:rFonts w:cs="Arial"/>
                <w:sz w:val="23"/>
                <w:szCs w:val="23"/>
              </w:rPr>
              <w:t xml:space="preserve">to </w:t>
            </w:r>
            <w:r w:rsidRPr="00515A54">
              <w:rPr>
                <w:rFonts w:cs="Arial"/>
                <w:sz w:val="23"/>
                <w:szCs w:val="23"/>
              </w:rPr>
              <w:t>EU law. This is necessary otherwise the ECJ can v</w:t>
            </w:r>
            <w:r w:rsidR="00690D86">
              <w:rPr>
                <w:rFonts w:cs="Arial"/>
                <w:sz w:val="23"/>
                <w:szCs w:val="23"/>
              </w:rPr>
              <w:t>eto the Withdrawal Agreement.</w:t>
            </w:r>
          </w:p>
          <w:p w14:paraId="7E2566A9" w14:textId="77777777" w:rsidR="00956816" w:rsidRPr="00515A54" w:rsidRDefault="00956816" w:rsidP="007E11E6">
            <w:pPr>
              <w:pStyle w:val="ListParagraph"/>
              <w:numPr>
                <w:ilvl w:val="0"/>
                <w:numId w:val="17"/>
              </w:numPr>
              <w:spacing w:after="60"/>
              <w:ind w:left="360"/>
              <w:contextualSpacing w:val="0"/>
              <w:rPr>
                <w:rFonts w:cs="Arial"/>
                <w:sz w:val="23"/>
                <w:szCs w:val="23"/>
              </w:rPr>
            </w:pPr>
            <w:r w:rsidRPr="00515A54">
              <w:rPr>
                <w:rFonts w:cs="Arial"/>
                <w:sz w:val="23"/>
                <w:szCs w:val="23"/>
              </w:rPr>
              <w:t xml:space="preserve">This section also covers the sanctions, fines, compliance and remedial actions arising from such disputes. The provisions are reciprocal. This refers to both ECJ rulings or the arbitration under the Permanent Court of Arbitration system. </w:t>
            </w:r>
          </w:p>
          <w:p w14:paraId="7BE04FE9" w14:textId="77777777" w:rsidR="00956816" w:rsidRPr="00515A54" w:rsidRDefault="00956816" w:rsidP="007E11E6">
            <w:pPr>
              <w:pStyle w:val="ListParagraph"/>
              <w:numPr>
                <w:ilvl w:val="0"/>
                <w:numId w:val="17"/>
              </w:numPr>
              <w:spacing w:after="60"/>
              <w:ind w:left="360"/>
              <w:contextualSpacing w:val="0"/>
              <w:rPr>
                <w:rFonts w:cs="Arial"/>
                <w:sz w:val="23"/>
                <w:szCs w:val="23"/>
              </w:rPr>
            </w:pPr>
            <w:r w:rsidRPr="00515A54">
              <w:rPr>
                <w:rFonts w:cs="Arial"/>
                <w:sz w:val="23"/>
                <w:szCs w:val="23"/>
              </w:rPr>
              <w:lastRenderedPageBreak/>
              <w:t xml:space="preserve">A new </w:t>
            </w:r>
            <w:r w:rsidRPr="00515A54">
              <w:rPr>
                <w:rFonts w:cs="Arial"/>
                <w:b/>
                <w:sz w:val="23"/>
                <w:szCs w:val="23"/>
              </w:rPr>
              <w:t>Independent Authority for citizen rights</w:t>
            </w:r>
            <w:r w:rsidRPr="00515A54">
              <w:rPr>
                <w:rFonts w:cs="Arial"/>
                <w:sz w:val="23"/>
                <w:szCs w:val="23"/>
              </w:rPr>
              <w:t xml:space="preserve"> is proposed “to monitor the implementation and application of Part Two. The Authority shall have the power to receive and investigate complaints from Union citizens and their family members, and to conduct inquiries on its own initiative, concerning alleged breaches by administrative authorities of the United Kingdom of their obligations under Part Two.” It shall also report to the Commission which can still issue infringement procedures to the ECJ.</w:t>
            </w:r>
          </w:p>
          <w:p w14:paraId="78BC0C1C" w14:textId="1EF20DA0" w:rsidR="00956816" w:rsidRPr="00515A54" w:rsidRDefault="00956816" w:rsidP="007E11E6">
            <w:pPr>
              <w:pStyle w:val="ListParagraph"/>
              <w:numPr>
                <w:ilvl w:val="0"/>
                <w:numId w:val="17"/>
              </w:numPr>
              <w:spacing w:after="60"/>
              <w:ind w:left="360"/>
              <w:contextualSpacing w:val="0"/>
              <w:rPr>
                <w:rFonts w:cs="Arial"/>
                <w:sz w:val="23"/>
                <w:szCs w:val="23"/>
              </w:rPr>
            </w:pPr>
            <w:r w:rsidRPr="00515A54">
              <w:rPr>
                <w:rFonts w:cs="Arial"/>
                <w:sz w:val="23"/>
                <w:szCs w:val="23"/>
              </w:rPr>
              <w:t xml:space="preserve">For State Aid, an independent authority must be set up in the UK </w:t>
            </w:r>
            <w:r w:rsidR="001D579A" w:rsidRPr="00515A54">
              <w:rPr>
                <w:rFonts w:cs="Arial"/>
                <w:sz w:val="23"/>
                <w:szCs w:val="23"/>
              </w:rPr>
              <w:t>similar to</w:t>
            </w:r>
            <w:r w:rsidRPr="00515A54">
              <w:rPr>
                <w:rFonts w:cs="Arial"/>
                <w:sz w:val="23"/>
                <w:szCs w:val="23"/>
              </w:rPr>
              <w:t xml:space="preserve"> the European Commission. It is not clear whether the UK Government choice of the </w:t>
            </w:r>
            <w:r w:rsidR="008B1255">
              <w:rPr>
                <w:rFonts w:cs="Arial"/>
                <w:sz w:val="23"/>
                <w:szCs w:val="23"/>
              </w:rPr>
              <w:t>Competition &amp; Markets Authority (</w:t>
            </w:r>
            <w:r w:rsidRPr="00515A54">
              <w:rPr>
                <w:rFonts w:cs="Arial"/>
                <w:sz w:val="23"/>
                <w:szCs w:val="23"/>
              </w:rPr>
              <w:t>CMA</w:t>
            </w:r>
            <w:r w:rsidR="008B1255">
              <w:rPr>
                <w:rFonts w:cs="Arial"/>
                <w:sz w:val="23"/>
                <w:szCs w:val="23"/>
              </w:rPr>
              <w:t>)</w:t>
            </w:r>
            <w:r w:rsidRPr="00515A54">
              <w:rPr>
                <w:rFonts w:cs="Arial"/>
                <w:sz w:val="23"/>
                <w:szCs w:val="23"/>
              </w:rPr>
              <w:t xml:space="preserve"> would be acceptable to the EU side. </w:t>
            </w:r>
            <w:r w:rsidR="0094795E" w:rsidRPr="00515A54">
              <w:rPr>
                <w:rFonts w:cs="Arial"/>
                <w:sz w:val="23"/>
                <w:szCs w:val="23"/>
              </w:rPr>
              <w:t>T</w:t>
            </w:r>
            <w:r w:rsidRPr="00515A54">
              <w:rPr>
                <w:rFonts w:cs="Arial"/>
                <w:sz w:val="23"/>
                <w:szCs w:val="23"/>
              </w:rPr>
              <w:t>here are concerns about having a UK body replacing the Commission without the input that the Commission currently allow</w:t>
            </w:r>
            <w:r w:rsidR="003A75F3" w:rsidRPr="00515A54">
              <w:rPr>
                <w:rFonts w:cs="Arial"/>
                <w:sz w:val="23"/>
                <w:szCs w:val="23"/>
              </w:rPr>
              <w:t>s</w:t>
            </w:r>
            <w:r w:rsidRPr="00515A54">
              <w:rPr>
                <w:rFonts w:cs="Arial"/>
                <w:sz w:val="23"/>
                <w:szCs w:val="23"/>
              </w:rPr>
              <w:t xml:space="preserve"> to devolved and local authorities to help formulate state aid policy and guidelines.</w:t>
            </w:r>
          </w:p>
          <w:p w14:paraId="67669AD9" w14:textId="0335DDDB" w:rsidR="00956816" w:rsidRPr="00956816" w:rsidRDefault="00956816" w:rsidP="007E11E6">
            <w:pPr>
              <w:pStyle w:val="ListParagraph"/>
              <w:numPr>
                <w:ilvl w:val="0"/>
                <w:numId w:val="17"/>
              </w:numPr>
              <w:spacing w:after="60"/>
              <w:ind w:left="360"/>
              <w:contextualSpacing w:val="0"/>
              <w:rPr>
                <w:rFonts w:cs="Arial"/>
              </w:rPr>
            </w:pPr>
            <w:r w:rsidRPr="00515A54">
              <w:rPr>
                <w:rFonts w:cs="Arial"/>
                <w:sz w:val="23"/>
                <w:szCs w:val="23"/>
              </w:rPr>
              <w:t xml:space="preserve">On Fisheries Issues the UK “shall be consulted by the European Commission” on UK Fish Quotas DURING the transition period. The UK should be involved in any fisheries-related international talks during this period.  This only covers the Transition period (unless the Transition period itself is extended), the status of UK fisheries will be one of the issues for negotiation for the post-Transition UK-EU Free Trade/Partnership Agreement – however an outline of that should be included in the non-binding declaration that </w:t>
            </w:r>
            <w:r w:rsidR="00690D86">
              <w:rPr>
                <w:rFonts w:cs="Arial"/>
                <w:sz w:val="23"/>
                <w:szCs w:val="23"/>
              </w:rPr>
              <w:t>will be agreed at the 14 December</w:t>
            </w:r>
            <w:r w:rsidRPr="00515A54">
              <w:rPr>
                <w:rFonts w:cs="Arial"/>
                <w:sz w:val="23"/>
                <w:szCs w:val="23"/>
              </w:rPr>
              <w:t xml:space="preserve"> EU summit.</w:t>
            </w:r>
          </w:p>
        </w:tc>
      </w:tr>
    </w:tbl>
    <w:p w14:paraId="208FE60E" w14:textId="3E9B2C2B" w:rsidR="00956816" w:rsidRPr="002228E7" w:rsidRDefault="00B83F6D" w:rsidP="007D7BD9">
      <w:pPr>
        <w:spacing w:before="120" w:after="0"/>
        <w:jc w:val="center"/>
        <w:rPr>
          <w:b/>
          <w:sz w:val="52"/>
          <w:szCs w:val="28"/>
        </w:rPr>
      </w:pPr>
      <w:r>
        <w:rPr>
          <w:b/>
          <w:color w:val="7030A0"/>
          <w:sz w:val="52"/>
          <w:szCs w:val="28"/>
        </w:rPr>
        <w:lastRenderedPageBreak/>
        <w:t>UK Representation</w:t>
      </w:r>
    </w:p>
    <w:tbl>
      <w:tblPr>
        <w:tblStyle w:val="TableGrid"/>
        <w:tblW w:w="0" w:type="auto"/>
        <w:tblLook w:val="04A0" w:firstRow="1" w:lastRow="0" w:firstColumn="1" w:lastColumn="0" w:noHBand="0" w:noVBand="1"/>
      </w:tblPr>
      <w:tblGrid>
        <w:gridCol w:w="9016"/>
      </w:tblGrid>
      <w:tr w:rsidR="00956816" w:rsidRPr="0075733D" w14:paraId="499C5D87" w14:textId="77777777" w:rsidTr="00D4768C">
        <w:tc>
          <w:tcPr>
            <w:tcW w:w="9016" w:type="dxa"/>
            <w:tcBorders>
              <w:top w:val="nil"/>
              <w:left w:val="nil"/>
              <w:bottom w:val="nil"/>
              <w:right w:val="nil"/>
            </w:tcBorders>
            <w:shd w:val="clear" w:color="auto" w:fill="D9E2F3" w:themeFill="accent1" w:themeFillTint="33"/>
          </w:tcPr>
          <w:p w14:paraId="4B795936" w14:textId="77777777" w:rsidR="00956816" w:rsidRPr="0075733D" w:rsidRDefault="00956816" w:rsidP="00D4768C">
            <w:pPr>
              <w:spacing w:after="60"/>
              <w:jc w:val="center"/>
              <w:rPr>
                <w:b/>
                <w:bCs/>
                <w:sz w:val="24"/>
                <w:szCs w:val="24"/>
              </w:rPr>
            </w:pPr>
            <w:r>
              <w:rPr>
                <w:b/>
                <w:bCs/>
                <w:sz w:val="24"/>
                <w:szCs w:val="24"/>
              </w:rPr>
              <w:t>Key Elements</w:t>
            </w:r>
          </w:p>
          <w:p w14:paraId="097004BE" w14:textId="2D76459F" w:rsidR="00956816" w:rsidRPr="00515A54" w:rsidRDefault="00956816" w:rsidP="007E11E6">
            <w:pPr>
              <w:pStyle w:val="ListParagraph"/>
              <w:numPr>
                <w:ilvl w:val="0"/>
                <w:numId w:val="18"/>
              </w:numPr>
              <w:tabs>
                <w:tab w:val="left" w:pos="1080"/>
                <w:tab w:val="left" w:pos="3000"/>
              </w:tabs>
              <w:spacing w:after="60"/>
              <w:ind w:left="360"/>
              <w:contextualSpacing w:val="0"/>
              <w:rPr>
                <w:rFonts w:cs="Arial"/>
                <w:sz w:val="23"/>
                <w:szCs w:val="23"/>
              </w:rPr>
            </w:pPr>
            <w:r w:rsidRPr="00515A54">
              <w:rPr>
                <w:rFonts w:cs="Arial"/>
                <w:sz w:val="23"/>
                <w:szCs w:val="23"/>
              </w:rPr>
              <w:t xml:space="preserve">From Brexit day, the UK will not be a Member </w:t>
            </w:r>
            <w:r w:rsidR="00690D86" w:rsidRPr="00515A54">
              <w:rPr>
                <w:rFonts w:cs="Arial"/>
                <w:sz w:val="23"/>
                <w:szCs w:val="23"/>
              </w:rPr>
              <w:t>State,</w:t>
            </w:r>
            <w:r w:rsidRPr="00515A54">
              <w:rPr>
                <w:rFonts w:cs="Arial"/>
                <w:sz w:val="23"/>
                <w:szCs w:val="23"/>
              </w:rPr>
              <w:t xml:space="preserve"> </w:t>
            </w:r>
            <w:r w:rsidR="00657C88" w:rsidRPr="00515A54">
              <w:rPr>
                <w:rFonts w:cs="Arial"/>
                <w:sz w:val="23"/>
                <w:szCs w:val="23"/>
              </w:rPr>
              <w:t>so it will not</w:t>
            </w:r>
            <w:r w:rsidR="003E4280">
              <w:rPr>
                <w:rFonts w:cs="Arial"/>
                <w:sz w:val="23"/>
                <w:szCs w:val="23"/>
              </w:rPr>
              <w:t xml:space="preserve"> have</w:t>
            </w:r>
            <w:r w:rsidRPr="00515A54">
              <w:rPr>
                <w:rFonts w:cs="Arial"/>
                <w:sz w:val="23"/>
                <w:szCs w:val="23"/>
              </w:rPr>
              <w:t xml:space="preserve"> a seat in the Council, European Council, delegations of MEPs, Committee of the Regions</w:t>
            </w:r>
            <w:r w:rsidR="008B1255">
              <w:rPr>
                <w:rFonts w:cs="Arial"/>
                <w:sz w:val="23"/>
                <w:szCs w:val="23"/>
              </w:rPr>
              <w:t xml:space="preserve"> (</w:t>
            </w:r>
            <w:proofErr w:type="spellStart"/>
            <w:r w:rsidR="008B1255">
              <w:rPr>
                <w:rFonts w:cs="Arial"/>
                <w:sz w:val="23"/>
                <w:szCs w:val="23"/>
              </w:rPr>
              <w:t>CoR</w:t>
            </w:r>
            <w:proofErr w:type="spellEnd"/>
            <w:r w:rsidR="008B1255">
              <w:rPr>
                <w:rFonts w:cs="Arial"/>
                <w:sz w:val="23"/>
                <w:szCs w:val="23"/>
              </w:rPr>
              <w:t>)</w:t>
            </w:r>
            <w:r w:rsidRPr="00515A54">
              <w:rPr>
                <w:rFonts w:cs="Arial"/>
                <w:sz w:val="23"/>
                <w:szCs w:val="23"/>
              </w:rPr>
              <w:t xml:space="preserve"> and E</w:t>
            </w:r>
            <w:r w:rsidR="00690D86">
              <w:rPr>
                <w:rFonts w:cs="Arial"/>
                <w:sz w:val="23"/>
                <w:szCs w:val="23"/>
              </w:rPr>
              <w:t xml:space="preserve">uropean </w:t>
            </w:r>
            <w:r w:rsidRPr="00515A54">
              <w:rPr>
                <w:rFonts w:cs="Arial"/>
                <w:sz w:val="23"/>
                <w:szCs w:val="23"/>
              </w:rPr>
              <w:t>E</w:t>
            </w:r>
            <w:r w:rsidR="00690D86">
              <w:rPr>
                <w:rFonts w:cs="Arial"/>
                <w:sz w:val="23"/>
                <w:szCs w:val="23"/>
              </w:rPr>
              <w:t xml:space="preserve">conomic </w:t>
            </w:r>
            <w:r w:rsidRPr="00515A54">
              <w:rPr>
                <w:rFonts w:cs="Arial"/>
                <w:sz w:val="23"/>
                <w:szCs w:val="23"/>
              </w:rPr>
              <w:t>S</w:t>
            </w:r>
            <w:r w:rsidR="00690D86">
              <w:rPr>
                <w:rFonts w:cs="Arial"/>
                <w:sz w:val="23"/>
                <w:szCs w:val="23"/>
              </w:rPr>
              <w:t xml:space="preserve">ocial </w:t>
            </w:r>
            <w:r w:rsidRPr="00515A54">
              <w:rPr>
                <w:rFonts w:cs="Arial"/>
                <w:sz w:val="23"/>
                <w:szCs w:val="23"/>
              </w:rPr>
              <w:t>C</w:t>
            </w:r>
            <w:r w:rsidR="00690D86">
              <w:rPr>
                <w:rFonts w:cs="Arial"/>
                <w:sz w:val="23"/>
                <w:szCs w:val="23"/>
              </w:rPr>
              <w:t>ommittee</w:t>
            </w:r>
            <w:r w:rsidRPr="00515A54">
              <w:rPr>
                <w:rFonts w:cs="Arial"/>
                <w:sz w:val="23"/>
                <w:szCs w:val="23"/>
              </w:rPr>
              <w:t>.</w:t>
            </w:r>
          </w:p>
          <w:p w14:paraId="2E479761" w14:textId="7C0ABF33" w:rsidR="00956816" w:rsidRPr="00515A54" w:rsidRDefault="00956816" w:rsidP="007E11E6">
            <w:pPr>
              <w:pStyle w:val="ListParagraph"/>
              <w:numPr>
                <w:ilvl w:val="0"/>
                <w:numId w:val="18"/>
              </w:numPr>
              <w:tabs>
                <w:tab w:val="left" w:pos="1080"/>
                <w:tab w:val="left" w:pos="3000"/>
              </w:tabs>
              <w:spacing w:after="60"/>
              <w:ind w:left="360"/>
              <w:contextualSpacing w:val="0"/>
              <w:rPr>
                <w:rFonts w:cs="Arial"/>
                <w:sz w:val="23"/>
                <w:szCs w:val="23"/>
              </w:rPr>
            </w:pPr>
            <w:r w:rsidRPr="00515A54">
              <w:rPr>
                <w:rFonts w:cs="Arial"/>
                <w:sz w:val="23"/>
                <w:szCs w:val="23"/>
              </w:rPr>
              <w:t>UK official access to preparatory bodies will be a little less restricted than previously proposed.</w:t>
            </w:r>
          </w:p>
          <w:p w14:paraId="5AA4B968" w14:textId="77777777" w:rsidR="00690D86" w:rsidRDefault="00956816" w:rsidP="00690D86">
            <w:pPr>
              <w:pStyle w:val="ListParagraph"/>
              <w:numPr>
                <w:ilvl w:val="0"/>
                <w:numId w:val="18"/>
              </w:numPr>
              <w:tabs>
                <w:tab w:val="left" w:pos="1080"/>
                <w:tab w:val="left" w:pos="3000"/>
              </w:tabs>
              <w:spacing w:after="60"/>
              <w:ind w:left="360"/>
              <w:contextualSpacing w:val="0"/>
              <w:rPr>
                <w:rFonts w:cs="Arial"/>
                <w:sz w:val="23"/>
                <w:szCs w:val="23"/>
              </w:rPr>
            </w:pPr>
            <w:r w:rsidRPr="00515A54">
              <w:rPr>
                <w:rFonts w:cs="Arial"/>
                <w:sz w:val="23"/>
                <w:szCs w:val="23"/>
              </w:rPr>
              <w:t xml:space="preserve">During the transition period, representatives or experts of the United Kingdom, or experts designated by the United Kingdom, may, exceptionally attend meetings or parts of meetings of the committees such as those dealing with implementation of Commission decisions. This only concerns meetings and agenda items where the UK has a direct interest (which </w:t>
            </w:r>
            <w:r w:rsidR="00EE10BD">
              <w:rPr>
                <w:rFonts w:cs="Arial"/>
                <w:sz w:val="23"/>
                <w:szCs w:val="23"/>
              </w:rPr>
              <w:t>will be</w:t>
            </w:r>
            <w:r w:rsidR="009F6B19" w:rsidRPr="00515A54">
              <w:rPr>
                <w:rFonts w:cs="Arial"/>
                <w:sz w:val="23"/>
                <w:szCs w:val="23"/>
              </w:rPr>
              <w:t xml:space="preserve"> a matter of judgement).</w:t>
            </w:r>
          </w:p>
          <w:p w14:paraId="61E5D800" w14:textId="5F697E7F" w:rsidR="00956816" w:rsidRPr="00690D86" w:rsidRDefault="00956816" w:rsidP="00690D86">
            <w:pPr>
              <w:pStyle w:val="ListParagraph"/>
              <w:numPr>
                <w:ilvl w:val="0"/>
                <w:numId w:val="18"/>
              </w:numPr>
              <w:tabs>
                <w:tab w:val="left" w:pos="1080"/>
                <w:tab w:val="left" w:pos="3000"/>
              </w:tabs>
              <w:spacing w:after="60"/>
              <w:ind w:left="360"/>
              <w:contextualSpacing w:val="0"/>
              <w:rPr>
                <w:rFonts w:cs="Arial"/>
                <w:sz w:val="23"/>
                <w:szCs w:val="23"/>
              </w:rPr>
            </w:pPr>
            <w:r w:rsidRPr="00690D86">
              <w:rPr>
                <w:rFonts w:cs="Arial"/>
                <w:sz w:val="23"/>
                <w:szCs w:val="23"/>
              </w:rPr>
              <w:t xml:space="preserve">No MEPs or </w:t>
            </w:r>
            <w:proofErr w:type="spellStart"/>
            <w:r w:rsidRPr="00690D86">
              <w:rPr>
                <w:rFonts w:cs="Arial"/>
                <w:sz w:val="23"/>
                <w:szCs w:val="23"/>
              </w:rPr>
              <w:t>CoR</w:t>
            </w:r>
            <w:proofErr w:type="spellEnd"/>
            <w:r w:rsidRPr="00690D86">
              <w:rPr>
                <w:rFonts w:cs="Arial"/>
                <w:sz w:val="23"/>
                <w:szCs w:val="23"/>
              </w:rPr>
              <w:t xml:space="preserve"> Members will continue. It is possible that a new Interparliamentary body made up of MPs and MEPs (ideally also </w:t>
            </w:r>
            <w:r w:rsidR="00BE7B5B">
              <w:rPr>
                <w:rFonts w:cs="Arial"/>
                <w:sz w:val="23"/>
                <w:szCs w:val="23"/>
              </w:rPr>
              <w:t xml:space="preserve">Welsh </w:t>
            </w:r>
            <w:r w:rsidRPr="00690D86">
              <w:rPr>
                <w:rFonts w:cs="Arial"/>
                <w:sz w:val="23"/>
                <w:szCs w:val="23"/>
              </w:rPr>
              <w:t>A</w:t>
            </w:r>
            <w:r w:rsidR="00690D86" w:rsidRPr="00690D86">
              <w:rPr>
                <w:rFonts w:cs="Arial"/>
                <w:sz w:val="23"/>
                <w:szCs w:val="23"/>
              </w:rPr>
              <w:t xml:space="preserve">ssembly </w:t>
            </w:r>
            <w:r w:rsidRPr="00690D86">
              <w:rPr>
                <w:rFonts w:cs="Arial"/>
                <w:sz w:val="23"/>
                <w:szCs w:val="23"/>
              </w:rPr>
              <w:t>M</w:t>
            </w:r>
            <w:r w:rsidR="00690D86" w:rsidRPr="00690D86">
              <w:rPr>
                <w:rFonts w:cs="Arial"/>
                <w:sz w:val="23"/>
                <w:szCs w:val="23"/>
              </w:rPr>
              <w:t>ember</w:t>
            </w:r>
            <w:r w:rsidRPr="00690D86">
              <w:rPr>
                <w:rFonts w:cs="Arial"/>
                <w:sz w:val="23"/>
                <w:szCs w:val="23"/>
              </w:rPr>
              <w:t xml:space="preserve">s, </w:t>
            </w:r>
            <w:r w:rsidR="00690D86" w:rsidRPr="00690D86">
              <w:rPr>
                <w:rFonts w:cs="Arial"/>
                <w:sz w:val="23"/>
                <w:szCs w:val="23"/>
              </w:rPr>
              <w:t>Members of the Northern Ireland Legislative Assembly</w:t>
            </w:r>
            <w:r w:rsidRPr="00690D86">
              <w:rPr>
                <w:rFonts w:cs="Arial"/>
                <w:sz w:val="23"/>
                <w:szCs w:val="23"/>
              </w:rPr>
              <w:t xml:space="preserve"> and MSPs) would be set up. The </w:t>
            </w:r>
            <w:proofErr w:type="spellStart"/>
            <w:r w:rsidR="008B1255">
              <w:rPr>
                <w:rFonts w:cs="Arial"/>
                <w:sz w:val="23"/>
                <w:szCs w:val="23"/>
              </w:rPr>
              <w:t>CoR</w:t>
            </w:r>
            <w:proofErr w:type="spellEnd"/>
            <w:r w:rsidRPr="00690D86">
              <w:rPr>
                <w:rFonts w:cs="Arial"/>
                <w:sz w:val="23"/>
                <w:szCs w:val="23"/>
              </w:rPr>
              <w:t xml:space="preserve">, COSLA and </w:t>
            </w:r>
            <w:r w:rsidR="00C626CB" w:rsidRPr="00690D86">
              <w:rPr>
                <w:rFonts w:cs="Arial"/>
                <w:sz w:val="23"/>
                <w:szCs w:val="23"/>
              </w:rPr>
              <w:t xml:space="preserve">our counterparts across the UK </w:t>
            </w:r>
            <w:r w:rsidRPr="00690D86">
              <w:rPr>
                <w:rFonts w:cs="Arial"/>
                <w:sz w:val="23"/>
                <w:szCs w:val="23"/>
              </w:rPr>
              <w:t>are requesting that there is a Joint UK-</w:t>
            </w:r>
            <w:proofErr w:type="spellStart"/>
            <w:r w:rsidRPr="00690D86">
              <w:rPr>
                <w:rFonts w:cs="Arial"/>
                <w:sz w:val="23"/>
                <w:szCs w:val="23"/>
              </w:rPr>
              <w:t>CoR</w:t>
            </w:r>
            <w:proofErr w:type="spellEnd"/>
            <w:r w:rsidRPr="00690D86">
              <w:rPr>
                <w:rFonts w:cs="Arial"/>
                <w:sz w:val="23"/>
                <w:szCs w:val="23"/>
              </w:rPr>
              <w:t xml:space="preserve"> Commission to oversee the local and devolved impact of the Transition Period.</w:t>
            </w:r>
          </w:p>
        </w:tc>
      </w:tr>
    </w:tbl>
    <w:p w14:paraId="56FE06D5" w14:textId="2D416581" w:rsidR="00956816" w:rsidRPr="002228E7" w:rsidRDefault="006D1919" w:rsidP="007D7BD9">
      <w:pPr>
        <w:spacing w:before="120" w:after="0"/>
        <w:jc w:val="center"/>
        <w:rPr>
          <w:b/>
          <w:sz w:val="52"/>
          <w:szCs w:val="28"/>
        </w:rPr>
      </w:pPr>
      <w:r>
        <w:rPr>
          <w:b/>
          <w:color w:val="7030A0"/>
          <w:sz w:val="52"/>
          <w:szCs w:val="28"/>
        </w:rPr>
        <w:t>Jurisdiction &amp; European C</w:t>
      </w:r>
      <w:r w:rsidR="00956816">
        <w:rPr>
          <w:b/>
          <w:color w:val="7030A0"/>
          <w:sz w:val="52"/>
          <w:szCs w:val="28"/>
        </w:rPr>
        <w:t>ourt of Justice</w:t>
      </w:r>
    </w:p>
    <w:tbl>
      <w:tblPr>
        <w:tblStyle w:val="TableGrid"/>
        <w:tblW w:w="0" w:type="auto"/>
        <w:tblLook w:val="04A0" w:firstRow="1" w:lastRow="0" w:firstColumn="1" w:lastColumn="0" w:noHBand="0" w:noVBand="1"/>
      </w:tblPr>
      <w:tblGrid>
        <w:gridCol w:w="9016"/>
      </w:tblGrid>
      <w:tr w:rsidR="00956816" w:rsidRPr="0075733D" w14:paraId="0568AAA2" w14:textId="77777777" w:rsidTr="00D4768C">
        <w:tc>
          <w:tcPr>
            <w:tcW w:w="9016" w:type="dxa"/>
            <w:tcBorders>
              <w:top w:val="nil"/>
              <w:left w:val="nil"/>
              <w:bottom w:val="nil"/>
              <w:right w:val="nil"/>
            </w:tcBorders>
            <w:shd w:val="clear" w:color="auto" w:fill="D9E2F3" w:themeFill="accent1" w:themeFillTint="33"/>
          </w:tcPr>
          <w:p w14:paraId="7517F33E" w14:textId="39DEAA32" w:rsidR="00416922" w:rsidRPr="00416922" w:rsidRDefault="00956816" w:rsidP="00416922">
            <w:pPr>
              <w:pStyle w:val="ListParagraph"/>
              <w:spacing w:after="60"/>
              <w:ind w:left="360"/>
              <w:contextualSpacing w:val="0"/>
              <w:jc w:val="center"/>
              <w:rPr>
                <w:b/>
                <w:bCs/>
                <w:sz w:val="24"/>
                <w:szCs w:val="24"/>
              </w:rPr>
            </w:pPr>
            <w:r w:rsidRPr="00416922">
              <w:rPr>
                <w:b/>
                <w:bCs/>
                <w:sz w:val="24"/>
                <w:szCs w:val="24"/>
              </w:rPr>
              <w:t>Key Elements</w:t>
            </w:r>
          </w:p>
          <w:p w14:paraId="015E8B5C" w14:textId="33E8B8E8" w:rsidR="00416922" w:rsidRPr="00515A54" w:rsidRDefault="00416922" w:rsidP="007E11E6">
            <w:pPr>
              <w:pStyle w:val="ListParagraph"/>
              <w:numPr>
                <w:ilvl w:val="0"/>
                <w:numId w:val="19"/>
              </w:numPr>
              <w:spacing w:after="60"/>
              <w:ind w:left="360"/>
              <w:contextualSpacing w:val="0"/>
              <w:rPr>
                <w:sz w:val="23"/>
                <w:szCs w:val="23"/>
              </w:rPr>
            </w:pPr>
            <w:r w:rsidRPr="00515A54">
              <w:rPr>
                <w:sz w:val="23"/>
                <w:szCs w:val="23"/>
              </w:rPr>
              <w:t>The EU wants all ongoing cases brought to the ECJ not only before withdrawal but also du</w:t>
            </w:r>
            <w:r w:rsidR="005576EA">
              <w:rPr>
                <w:sz w:val="23"/>
                <w:szCs w:val="23"/>
              </w:rPr>
              <w:t>ring the Transition period to</w:t>
            </w:r>
            <w:r w:rsidRPr="00515A54">
              <w:rPr>
                <w:sz w:val="23"/>
                <w:szCs w:val="23"/>
              </w:rPr>
              <w:t xml:space="preserve"> be adjudicated </w:t>
            </w:r>
            <w:r w:rsidR="008B1255">
              <w:rPr>
                <w:sz w:val="23"/>
                <w:szCs w:val="23"/>
              </w:rPr>
              <w:t>by the ECJ</w:t>
            </w:r>
            <w:r w:rsidRPr="00515A54">
              <w:rPr>
                <w:sz w:val="23"/>
                <w:szCs w:val="23"/>
              </w:rPr>
              <w:t>.</w:t>
            </w:r>
          </w:p>
          <w:p w14:paraId="7780932E" w14:textId="3D1C5EE8" w:rsidR="00416922" w:rsidRPr="00515A54" w:rsidRDefault="00416922" w:rsidP="007E11E6">
            <w:pPr>
              <w:pStyle w:val="ListParagraph"/>
              <w:numPr>
                <w:ilvl w:val="0"/>
                <w:numId w:val="19"/>
              </w:numPr>
              <w:spacing w:after="60"/>
              <w:ind w:left="360"/>
              <w:contextualSpacing w:val="0"/>
              <w:rPr>
                <w:sz w:val="23"/>
                <w:szCs w:val="23"/>
              </w:rPr>
            </w:pPr>
            <w:r w:rsidRPr="00515A54">
              <w:rPr>
                <w:sz w:val="23"/>
                <w:szCs w:val="23"/>
              </w:rPr>
              <w:t xml:space="preserve">Any infringement by the UK of the Treaty can be brought by the European Commission to the </w:t>
            </w:r>
            <w:r w:rsidR="008B1255">
              <w:rPr>
                <w:sz w:val="23"/>
                <w:szCs w:val="23"/>
              </w:rPr>
              <w:t>ECJ</w:t>
            </w:r>
            <w:r w:rsidRPr="00515A54">
              <w:rPr>
                <w:sz w:val="23"/>
                <w:szCs w:val="23"/>
              </w:rPr>
              <w:t>. ECJ rulings on the issues covered in this Treaty would be binding in the UK even after the UK completely leaves the EU in 2020.</w:t>
            </w:r>
          </w:p>
          <w:p w14:paraId="574A3D03" w14:textId="0B43EF88" w:rsidR="00416922" w:rsidRPr="00515A54" w:rsidRDefault="005576EA" w:rsidP="007E11E6">
            <w:pPr>
              <w:pStyle w:val="ListParagraph"/>
              <w:numPr>
                <w:ilvl w:val="0"/>
                <w:numId w:val="19"/>
              </w:numPr>
              <w:spacing w:after="60"/>
              <w:ind w:left="360"/>
              <w:contextualSpacing w:val="0"/>
              <w:rPr>
                <w:sz w:val="23"/>
                <w:szCs w:val="23"/>
              </w:rPr>
            </w:pPr>
            <w:r>
              <w:rPr>
                <w:sz w:val="23"/>
                <w:szCs w:val="23"/>
              </w:rPr>
              <w:t xml:space="preserve">UK courts can </w:t>
            </w:r>
            <w:r w:rsidR="00416922" w:rsidRPr="00515A54">
              <w:rPr>
                <w:sz w:val="23"/>
                <w:szCs w:val="23"/>
              </w:rPr>
              <w:t xml:space="preserve">continue to make references for preliminary rulings to the ECJ on matters pertaining the Transition period for up to 8 years after the UK departure date. </w:t>
            </w:r>
          </w:p>
          <w:p w14:paraId="56138E5B" w14:textId="77777777" w:rsidR="00416922" w:rsidRPr="00515A54" w:rsidRDefault="00416922" w:rsidP="007E11E6">
            <w:pPr>
              <w:pStyle w:val="ListParagraph"/>
              <w:numPr>
                <w:ilvl w:val="0"/>
                <w:numId w:val="19"/>
              </w:numPr>
              <w:spacing w:after="60"/>
              <w:ind w:left="360"/>
              <w:contextualSpacing w:val="0"/>
              <w:rPr>
                <w:sz w:val="23"/>
                <w:szCs w:val="23"/>
              </w:rPr>
            </w:pPr>
            <w:r w:rsidRPr="00515A54">
              <w:rPr>
                <w:sz w:val="23"/>
                <w:szCs w:val="23"/>
              </w:rPr>
              <w:t xml:space="preserve">EU decisions concerning the UK during the transition period would continue to be directly enforceable in the UK for matters that occurred before the end of the Transition Period. </w:t>
            </w:r>
          </w:p>
          <w:p w14:paraId="5CBE239A" w14:textId="7B74192D" w:rsidR="007D7BD9" w:rsidRPr="007D7BD9" w:rsidRDefault="00416922" w:rsidP="007E11E6">
            <w:pPr>
              <w:pStyle w:val="ListParagraph"/>
              <w:numPr>
                <w:ilvl w:val="0"/>
                <w:numId w:val="19"/>
              </w:numPr>
              <w:spacing w:after="60"/>
              <w:ind w:left="360"/>
              <w:contextualSpacing w:val="0"/>
              <w:rPr>
                <w:sz w:val="24"/>
                <w:szCs w:val="24"/>
              </w:rPr>
            </w:pPr>
            <w:r w:rsidRPr="00515A54">
              <w:rPr>
                <w:sz w:val="23"/>
                <w:szCs w:val="23"/>
              </w:rPr>
              <w:lastRenderedPageBreak/>
              <w:t xml:space="preserve">This will </w:t>
            </w:r>
            <w:r w:rsidR="005576EA">
              <w:rPr>
                <w:sz w:val="23"/>
                <w:szCs w:val="23"/>
              </w:rPr>
              <w:t xml:space="preserve">likely </w:t>
            </w:r>
            <w:r w:rsidRPr="00515A54">
              <w:rPr>
                <w:sz w:val="23"/>
                <w:szCs w:val="23"/>
              </w:rPr>
              <w:t xml:space="preserve">be </w:t>
            </w:r>
            <w:r w:rsidR="00BB30E0">
              <w:rPr>
                <w:sz w:val="23"/>
                <w:szCs w:val="23"/>
              </w:rPr>
              <w:t>further negotiated</w:t>
            </w:r>
            <w:r w:rsidRPr="00515A54">
              <w:rPr>
                <w:sz w:val="23"/>
                <w:szCs w:val="23"/>
              </w:rPr>
              <w:t xml:space="preserve"> by the UK as it would imply that the Commission (and the ECJ) have jurisdiction over the UK well before the UK withdraws on anything that can be connected to the time when the UK was a member or during the Transition period.  However, this also means that current State Aid, funding, guidance, audit and reporting decisions remain in force for the time being.</w:t>
            </w:r>
          </w:p>
        </w:tc>
      </w:tr>
    </w:tbl>
    <w:p w14:paraId="791EE5C2" w14:textId="011B00A6" w:rsidR="00FC1BB7" w:rsidRPr="002228E7" w:rsidRDefault="00D539FE" w:rsidP="007D7BD9">
      <w:pPr>
        <w:spacing w:before="120" w:after="0"/>
        <w:jc w:val="center"/>
        <w:rPr>
          <w:b/>
          <w:sz w:val="52"/>
          <w:szCs w:val="52"/>
        </w:rPr>
      </w:pPr>
      <w:r>
        <w:rPr>
          <w:b/>
          <w:color w:val="7030A0"/>
          <w:sz w:val="52"/>
          <w:szCs w:val="52"/>
        </w:rPr>
        <w:lastRenderedPageBreak/>
        <w:t>Transition</w:t>
      </w:r>
    </w:p>
    <w:tbl>
      <w:tblPr>
        <w:tblStyle w:val="TableGrid"/>
        <w:tblW w:w="0" w:type="auto"/>
        <w:tblLook w:val="04A0" w:firstRow="1" w:lastRow="0" w:firstColumn="1" w:lastColumn="0" w:noHBand="0" w:noVBand="1"/>
      </w:tblPr>
      <w:tblGrid>
        <w:gridCol w:w="9016"/>
      </w:tblGrid>
      <w:tr w:rsidR="00FC1BB7" w:rsidRPr="0075733D" w14:paraId="53DAB69B" w14:textId="77777777" w:rsidTr="00D4768C">
        <w:tc>
          <w:tcPr>
            <w:tcW w:w="9016" w:type="dxa"/>
            <w:tcBorders>
              <w:top w:val="nil"/>
              <w:left w:val="nil"/>
              <w:bottom w:val="nil"/>
              <w:right w:val="nil"/>
            </w:tcBorders>
            <w:shd w:val="clear" w:color="auto" w:fill="D9E2F3" w:themeFill="accent1" w:themeFillTint="33"/>
          </w:tcPr>
          <w:p w14:paraId="31613179" w14:textId="77777777" w:rsidR="00FC1BB7" w:rsidRPr="0075733D" w:rsidRDefault="00FC1BB7" w:rsidP="00D4768C">
            <w:pPr>
              <w:spacing w:after="60"/>
              <w:jc w:val="center"/>
              <w:rPr>
                <w:b/>
                <w:bCs/>
                <w:sz w:val="24"/>
                <w:szCs w:val="24"/>
              </w:rPr>
            </w:pPr>
            <w:r>
              <w:rPr>
                <w:b/>
                <w:bCs/>
                <w:sz w:val="24"/>
                <w:szCs w:val="24"/>
              </w:rPr>
              <w:t>Key Elements</w:t>
            </w:r>
          </w:p>
          <w:p w14:paraId="62F41C5A" w14:textId="77777777" w:rsidR="00FC1BB7" w:rsidRPr="00515A54" w:rsidRDefault="00FC1BB7" w:rsidP="007E11E6">
            <w:pPr>
              <w:pStyle w:val="ListParagraph"/>
              <w:numPr>
                <w:ilvl w:val="0"/>
                <w:numId w:val="20"/>
              </w:numPr>
              <w:spacing w:after="60"/>
              <w:ind w:left="321" w:hanging="357"/>
              <w:contextualSpacing w:val="0"/>
              <w:rPr>
                <w:sz w:val="23"/>
                <w:szCs w:val="23"/>
              </w:rPr>
            </w:pPr>
            <w:r w:rsidRPr="00515A54">
              <w:rPr>
                <w:sz w:val="23"/>
                <w:szCs w:val="23"/>
              </w:rPr>
              <w:t>The Transition period is anticipated to end on 31 December 2020 (also the date of the end of the existing EU budget 2014-2020) although the Transition could be extended.</w:t>
            </w:r>
          </w:p>
          <w:p w14:paraId="2F477FD7" w14:textId="347DC977" w:rsidR="00FC1BB7" w:rsidRPr="00515A54" w:rsidRDefault="000C2D54" w:rsidP="007E11E6">
            <w:pPr>
              <w:pStyle w:val="ListParagraph"/>
              <w:numPr>
                <w:ilvl w:val="0"/>
                <w:numId w:val="20"/>
              </w:numPr>
              <w:spacing w:after="60"/>
              <w:ind w:left="321" w:hanging="357"/>
              <w:contextualSpacing w:val="0"/>
              <w:rPr>
                <w:sz w:val="23"/>
                <w:szCs w:val="23"/>
              </w:rPr>
            </w:pPr>
            <w:r>
              <w:rPr>
                <w:sz w:val="23"/>
                <w:szCs w:val="23"/>
              </w:rPr>
              <w:t xml:space="preserve">Should it be extended, </w:t>
            </w:r>
            <w:r w:rsidR="00FC1BB7" w:rsidRPr="00515A54">
              <w:rPr>
                <w:sz w:val="23"/>
                <w:szCs w:val="23"/>
              </w:rPr>
              <w:t>the perio</w:t>
            </w:r>
            <w:r w:rsidR="00545F9E">
              <w:rPr>
                <w:sz w:val="23"/>
                <w:szCs w:val="23"/>
              </w:rPr>
              <w:t>d between 1 January 2021 and its</w:t>
            </w:r>
            <w:r w:rsidR="00FC1BB7" w:rsidRPr="00515A54">
              <w:rPr>
                <w:sz w:val="23"/>
                <w:szCs w:val="23"/>
              </w:rPr>
              <w:t xml:space="preserve"> end</w:t>
            </w:r>
            <w:r w:rsidR="000B5D67">
              <w:rPr>
                <w:sz w:val="23"/>
                <w:szCs w:val="23"/>
              </w:rPr>
              <w:t>,</w:t>
            </w:r>
            <w:r w:rsidR="00FC1BB7" w:rsidRPr="00515A54">
              <w:rPr>
                <w:sz w:val="23"/>
                <w:szCs w:val="23"/>
              </w:rPr>
              <w:t xml:space="preserve"> </w:t>
            </w:r>
            <w:r w:rsidR="000B5D67">
              <w:rPr>
                <w:sz w:val="23"/>
                <w:szCs w:val="23"/>
              </w:rPr>
              <w:t>the United Kingdom shall</w:t>
            </w:r>
            <w:r w:rsidR="00FC1BB7" w:rsidRPr="00515A54">
              <w:rPr>
                <w:sz w:val="23"/>
                <w:szCs w:val="23"/>
              </w:rPr>
              <w:t xml:space="preserve"> </w:t>
            </w:r>
            <w:r w:rsidR="0084164B" w:rsidRPr="00515A54">
              <w:rPr>
                <w:sz w:val="23"/>
                <w:szCs w:val="23"/>
              </w:rPr>
              <w:t>contribute</w:t>
            </w:r>
            <w:r w:rsidR="00FC1BB7" w:rsidRPr="00515A54">
              <w:rPr>
                <w:sz w:val="23"/>
                <w:szCs w:val="23"/>
              </w:rPr>
              <w:t xml:space="preserve"> to the Union budget. This covers not only outstanding liabilities from EU membership and the 2014-2020 EU Budget but also any future contribution that the UK may make if it chooses to opt into the 2021-2027 EU funding programmes.</w:t>
            </w:r>
          </w:p>
          <w:p w14:paraId="6510E2D3" w14:textId="54B6D12E" w:rsidR="00FC1BB7" w:rsidRPr="00FC1BB7" w:rsidRDefault="00FC1BB7" w:rsidP="007E11E6">
            <w:pPr>
              <w:pStyle w:val="ListParagraph"/>
              <w:numPr>
                <w:ilvl w:val="0"/>
                <w:numId w:val="20"/>
              </w:numPr>
              <w:spacing w:after="60"/>
              <w:ind w:left="321" w:hanging="357"/>
              <w:contextualSpacing w:val="0"/>
              <w:rPr>
                <w:sz w:val="24"/>
                <w:szCs w:val="24"/>
              </w:rPr>
            </w:pPr>
            <w:r w:rsidRPr="00515A54">
              <w:rPr>
                <w:sz w:val="23"/>
                <w:szCs w:val="23"/>
              </w:rPr>
              <w:t>The Protocol on Northern Ireland (see below) foresees that the EU and UK “shall use their best endeavours to conclude, by 31 December 2020, an agreement which supersedes this Protocol in whole or in part” on the matters pertaining to Northern Ireland.</w:t>
            </w:r>
          </w:p>
        </w:tc>
      </w:tr>
    </w:tbl>
    <w:p w14:paraId="7060CAF9" w14:textId="1C9609B1" w:rsidR="00FC1BB7" w:rsidRPr="002228E7" w:rsidRDefault="00FC1BB7" w:rsidP="007D7BD9">
      <w:pPr>
        <w:spacing w:before="120" w:after="0"/>
        <w:jc w:val="center"/>
        <w:rPr>
          <w:b/>
          <w:sz w:val="52"/>
          <w:szCs w:val="28"/>
        </w:rPr>
      </w:pPr>
      <w:r>
        <w:rPr>
          <w:b/>
          <w:color w:val="7030A0"/>
          <w:sz w:val="52"/>
          <w:szCs w:val="28"/>
        </w:rPr>
        <w:t>Ireland / Northern Ireland Protocol</w:t>
      </w:r>
    </w:p>
    <w:tbl>
      <w:tblPr>
        <w:tblStyle w:val="TableGrid"/>
        <w:tblW w:w="0" w:type="auto"/>
        <w:tblLook w:val="04A0" w:firstRow="1" w:lastRow="0" w:firstColumn="1" w:lastColumn="0" w:noHBand="0" w:noVBand="1"/>
      </w:tblPr>
      <w:tblGrid>
        <w:gridCol w:w="9016"/>
      </w:tblGrid>
      <w:tr w:rsidR="00FC1BB7" w:rsidRPr="0075733D" w14:paraId="7AE23CCD" w14:textId="77777777" w:rsidTr="00D4768C">
        <w:tc>
          <w:tcPr>
            <w:tcW w:w="9016" w:type="dxa"/>
            <w:tcBorders>
              <w:top w:val="nil"/>
              <w:left w:val="nil"/>
              <w:bottom w:val="nil"/>
              <w:right w:val="nil"/>
            </w:tcBorders>
            <w:shd w:val="clear" w:color="auto" w:fill="D9E2F3" w:themeFill="accent1" w:themeFillTint="33"/>
          </w:tcPr>
          <w:p w14:paraId="4C57B069" w14:textId="77777777" w:rsidR="00FC1BB7" w:rsidRPr="0075733D" w:rsidRDefault="00FC1BB7" w:rsidP="00D4768C">
            <w:pPr>
              <w:spacing w:after="60"/>
              <w:jc w:val="center"/>
              <w:rPr>
                <w:b/>
                <w:bCs/>
                <w:sz w:val="24"/>
                <w:szCs w:val="24"/>
              </w:rPr>
            </w:pPr>
            <w:r>
              <w:rPr>
                <w:b/>
                <w:bCs/>
                <w:sz w:val="24"/>
                <w:szCs w:val="24"/>
              </w:rPr>
              <w:t>Key Elements</w:t>
            </w:r>
          </w:p>
          <w:p w14:paraId="5E8B2922" w14:textId="7D9E015D" w:rsidR="00FC1BB7" w:rsidRPr="00515A54" w:rsidRDefault="00DF316C" w:rsidP="007E11E6">
            <w:pPr>
              <w:pStyle w:val="ListParagraph"/>
              <w:numPr>
                <w:ilvl w:val="0"/>
                <w:numId w:val="21"/>
              </w:numPr>
              <w:spacing w:after="60"/>
              <w:ind w:left="357" w:hanging="357"/>
              <w:contextualSpacing w:val="0"/>
              <w:rPr>
                <w:rFonts w:cs="Arial"/>
                <w:bCs/>
                <w:sz w:val="23"/>
                <w:szCs w:val="23"/>
              </w:rPr>
            </w:pPr>
            <w:r w:rsidRPr="00515A54">
              <w:rPr>
                <w:rFonts w:cs="Arial"/>
                <w:bCs/>
                <w:sz w:val="23"/>
                <w:szCs w:val="23"/>
              </w:rPr>
              <w:t>A</w:t>
            </w:r>
            <w:r w:rsidR="00FC1BB7" w:rsidRPr="00515A54">
              <w:rPr>
                <w:rFonts w:cs="Arial"/>
                <w:bCs/>
                <w:sz w:val="23"/>
                <w:szCs w:val="23"/>
              </w:rPr>
              <w:t xml:space="preserve"> UK-EU “</w:t>
            </w:r>
            <w:r w:rsidR="00FC1BB7" w:rsidRPr="000B5D67">
              <w:rPr>
                <w:rFonts w:cs="Arial"/>
                <w:bCs/>
                <w:sz w:val="23"/>
                <w:szCs w:val="23"/>
              </w:rPr>
              <w:t>Single Customs Territory</w:t>
            </w:r>
            <w:r w:rsidR="00FC1BB7" w:rsidRPr="00515A54">
              <w:rPr>
                <w:rFonts w:cs="Arial"/>
                <w:bCs/>
                <w:sz w:val="23"/>
                <w:szCs w:val="23"/>
              </w:rPr>
              <w:t xml:space="preserve">” </w:t>
            </w:r>
            <w:r w:rsidRPr="00515A54">
              <w:rPr>
                <w:rFonts w:cs="Arial"/>
                <w:bCs/>
                <w:sz w:val="23"/>
                <w:szCs w:val="23"/>
              </w:rPr>
              <w:t xml:space="preserve">will be created </w:t>
            </w:r>
            <w:r w:rsidR="00FC1BB7" w:rsidRPr="00515A54">
              <w:rPr>
                <w:rFonts w:cs="Arial"/>
                <w:bCs/>
                <w:sz w:val="23"/>
                <w:szCs w:val="23"/>
              </w:rPr>
              <w:t xml:space="preserve">for the free movement of goods not just for Northern Ireland (NI) and the EU but the whole of the UK and the EU, until the future relationship becomes applicable. Unless a solution is found, and regardless of what happens with the rest of provisions of Withdrawal and the Transition Period, the UK and </w:t>
            </w:r>
            <w:r w:rsidR="0084164B" w:rsidRPr="00515A54">
              <w:rPr>
                <w:rFonts w:cs="Arial"/>
                <w:bCs/>
                <w:sz w:val="23"/>
                <w:szCs w:val="23"/>
              </w:rPr>
              <w:t>the EU</w:t>
            </w:r>
            <w:r w:rsidR="00FC1BB7" w:rsidRPr="00515A54">
              <w:rPr>
                <w:rFonts w:cs="Arial"/>
                <w:bCs/>
                <w:sz w:val="23"/>
                <w:szCs w:val="23"/>
              </w:rPr>
              <w:t xml:space="preserve">27 will form a customs union </w:t>
            </w:r>
            <w:r w:rsidR="0074245B">
              <w:rPr>
                <w:rFonts w:cs="Arial"/>
                <w:bCs/>
                <w:sz w:val="23"/>
                <w:szCs w:val="23"/>
              </w:rPr>
              <w:t>similar to Turkey and the EU</w:t>
            </w:r>
            <w:r w:rsidR="00FC1BB7" w:rsidRPr="00515A54">
              <w:rPr>
                <w:rFonts w:cs="Arial"/>
                <w:bCs/>
                <w:sz w:val="23"/>
                <w:szCs w:val="23"/>
              </w:rPr>
              <w:t>.</w:t>
            </w:r>
          </w:p>
          <w:p w14:paraId="2A04A4DD" w14:textId="699693C6" w:rsidR="00FC1BB7" w:rsidRPr="00515A54" w:rsidRDefault="003820C4" w:rsidP="007E11E6">
            <w:pPr>
              <w:pStyle w:val="ListParagraph"/>
              <w:numPr>
                <w:ilvl w:val="0"/>
                <w:numId w:val="21"/>
              </w:numPr>
              <w:spacing w:after="60"/>
              <w:ind w:left="357" w:hanging="357"/>
              <w:contextualSpacing w:val="0"/>
              <w:rPr>
                <w:rFonts w:cs="Arial"/>
                <w:bCs/>
                <w:sz w:val="23"/>
                <w:szCs w:val="23"/>
              </w:rPr>
            </w:pPr>
            <w:r>
              <w:rPr>
                <w:rFonts w:cs="Arial"/>
                <w:bCs/>
                <w:sz w:val="23"/>
                <w:szCs w:val="23"/>
              </w:rPr>
              <w:t>For</w:t>
            </w:r>
            <w:r w:rsidR="00FC1BB7" w:rsidRPr="00515A54">
              <w:rPr>
                <w:rFonts w:cs="Arial"/>
                <w:bCs/>
                <w:sz w:val="23"/>
                <w:szCs w:val="23"/>
              </w:rPr>
              <w:t xml:space="preserve"> Northern Ireland specific matters, the Protocol sets out the continuity of EU laws in Northern Ireland on various aspects of Technical regulations.</w:t>
            </w:r>
          </w:p>
          <w:p w14:paraId="1017C4B6" w14:textId="6BA82C81" w:rsidR="00FC1BB7" w:rsidRPr="00FC1BB7" w:rsidRDefault="00FC1BB7" w:rsidP="007E11E6">
            <w:pPr>
              <w:pStyle w:val="ListParagraph"/>
              <w:numPr>
                <w:ilvl w:val="0"/>
                <w:numId w:val="21"/>
              </w:numPr>
              <w:spacing w:after="60"/>
              <w:ind w:left="357" w:hanging="357"/>
              <w:contextualSpacing w:val="0"/>
              <w:rPr>
                <w:rFonts w:cs="Arial"/>
                <w:bCs/>
              </w:rPr>
            </w:pPr>
            <w:r w:rsidRPr="00515A54">
              <w:rPr>
                <w:rFonts w:cs="Arial"/>
                <w:bCs/>
                <w:sz w:val="23"/>
                <w:szCs w:val="23"/>
              </w:rPr>
              <w:t xml:space="preserve">This will be overseen by the overall Joint Committee, the NI specific Specialised Committee and a Joint Consultative Working Group. The Northern Ireland institutions are no longer mentioned (as equally </w:t>
            </w:r>
            <w:r w:rsidR="003820C4">
              <w:rPr>
                <w:rFonts w:cs="Arial"/>
                <w:bCs/>
                <w:sz w:val="23"/>
                <w:szCs w:val="23"/>
              </w:rPr>
              <w:t>for</w:t>
            </w:r>
            <w:r w:rsidRPr="00515A54">
              <w:rPr>
                <w:rFonts w:cs="Arial"/>
                <w:bCs/>
                <w:sz w:val="23"/>
                <w:szCs w:val="23"/>
              </w:rPr>
              <w:t xml:space="preserve"> the Gibraltar Pr</w:t>
            </w:r>
            <w:r w:rsidR="00E4537A">
              <w:rPr>
                <w:rFonts w:cs="Arial"/>
                <w:bCs/>
                <w:sz w:val="23"/>
                <w:szCs w:val="23"/>
              </w:rPr>
              <w:t>otocol) but this does not prevent</w:t>
            </w:r>
            <w:r w:rsidRPr="00515A54">
              <w:rPr>
                <w:rFonts w:cs="Arial"/>
                <w:bCs/>
                <w:sz w:val="23"/>
                <w:szCs w:val="23"/>
              </w:rPr>
              <w:t xml:space="preserve"> the UK Government including NI representatives in its negotiation teams. </w:t>
            </w:r>
          </w:p>
        </w:tc>
      </w:tr>
    </w:tbl>
    <w:p w14:paraId="24CE02A8" w14:textId="43FAE206" w:rsidR="00931C8A" w:rsidRPr="002228E7" w:rsidRDefault="00D539FE" w:rsidP="007D7BD9">
      <w:pPr>
        <w:spacing w:before="120" w:after="0"/>
        <w:jc w:val="center"/>
        <w:rPr>
          <w:b/>
          <w:sz w:val="52"/>
          <w:szCs w:val="28"/>
        </w:rPr>
      </w:pPr>
      <w:r>
        <w:rPr>
          <w:b/>
          <w:color w:val="7030A0"/>
          <w:sz w:val="52"/>
          <w:szCs w:val="28"/>
        </w:rPr>
        <w:t>EU Funding</w:t>
      </w:r>
    </w:p>
    <w:tbl>
      <w:tblPr>
        <w:tblStyle w:val="TableGrid"/>
        <w:tblW w:w="0" w:type="auto"/>
        <w:tblLook w:val="04A0" w:firstRow="1" w:lastRow="0" w:firstColumn="1" w:lastColumn="0" w:noHBand="0" w:noVBand="1"/>
      </w:tblPr>
      <w:tblGrid>
        <w:gridCol w:w="9016"/>
      </w:tblGrid>
      <w:tr w:rsidR="00931C8A" w:rsidRPr="0075733D" w14:paraId="1C55446E" w14:textId="77777777" w:rsidTr="00D4768C">
        <w:tc>
          <w:tcPr>
            <w:tcW w:w="9016" w:type="dxa"/>
            <w:tcBorders>
              <w:top w:val="nil"/>
              <w:left w:val="nil"/>
              <w:bottom w:val="nil"/>
              <w:right w:val="nil"/>
            </w:tcBorders>
            <w:shd w:val="clear" w:color="auto" w:fill="D9E2F3" w:themeFill="accent1" w:themeFillTint="33"/>
          </w:tcPr>
          <w:p w14:paraId="16DA0B2C" w14:textId="2F53053A" w:rsidR="00931C8A" w:rsidRPr="00931C8A" w:rsidRDefault="00931C8A" w:rsidP="00931C8A">
            <w:pPr>
              <w:spacing w:after="60"/>
              <w:jc w:val="center"/>
              <w:rPr>
                <w:b/>
                <w:bCs/>
                <w:sz w:val="24"/>
                <w:szCs w:val="24"/>
              </w:rPr>
            </w:pPr>
            <w:r>
              <w:rPr>
                <w:b/>
                <w:bCs/>
                <w:sz w:val="24"/>
                <w:szCs w:val="24"/>
              </w:rPr>
              <w:t>Key Elements</w:t>
            </w:r>
          </w:p>
          <w:p w14:paraId="560B04D2" w14:textId="332A4DC0" w:rsidR="00931C8A" w:rsidRPr="00515A54" w:rsidRDefault="00931C8A" w:rsidP="007E11E6">
            <w:pPr>
              <w:pStyle w:val="ListParagraph"/>
              <w:numPr>
                <w:ilvl w:val="0"/>
                <w:numId w:val="22"/>
              </w:numPr>
              <w:spacing w:after="60"/>
              <w:ind w:left="360"/>
              <w:contextualSpacing w:val="0"/>
              <w:rPr>
                <w:rFonts w:cs="Arial"/>
                <w:sz w:val="23"/>
                <w:szCs w:val="23"/>
              </w:rPr>
            </w:pPr>
            <w:r w:rsidRPr="00515A54">
              <w:rPr>
                <w:rFonts w:cs="Arial"/>
                <w:sz w:val="23"/>
                <w:szCs w:val="23"/>
              </w:rPr>
              <w:t>The United Kingdom shall contribute to</w:t>
            </w:r>
            <w:r w:rsidR="00E4537A">
              <w:rPr>
                <w:rFonts w:cs="Arial"/>
                <w:sz w:val="23"/>
                <w:szCs w:val="23"/>
              </w:rPr>
              <w:t>,</w:t>
            </w:r>
            <w:r w:rsidRPr="00515A54">
              <w:rPr>
                <w:rFonts w:cs="Arial"/>
                <w:sz w:val="23"/>
                <w:szCs w:val="23"/>
              </w:rPr>
              <w:t xml:space="preserve"> </w:t>
            </w:r>
            <w:r w:rsidR="00E4537A">
              <w:rPr>
                <w:rFonts w:cs="Arial"/>
                <w:sz w:val="23"/>
                <w:szCs w:val="23"/>
              </w:rPr>
              <w:t xml:space="preserve">and </w:t>
            </w:r>
            <w:r w:rsidRPr="00515A54">
              <w:rPr>
                <w:rFonts w:cs="Arial"/>
                <w:sz w:val="23"/>
                <w:szCs w:val="23"/>
              </w:rPr>
              <w:t>participate in</w:t>
            </w:r>
            <w:r w:rsidR="00E4537A">
              <w:rPr>
                <w:rFonts w:cs="Arial"/>
                <w:sz w:val="23"/>
                <w:szCs w:val="23"/>
              </w:rPr>
              <w:t>,</w:t>
            </w:r>
            <w:r w:rsidRPr="00515A54">
              <w:rPr>
                <w:rFonts w:cs="Arial"/>
                <w:sz w:val="23"/>
                <w:szCs w:val="23"/>
              </w:rPr>
              <w:t xml:space="preserve"> the implementation of the Union budgets and their programmes as if it had remained a member state. After the end of </w:t>
            </w:r>
            <w:r w:rsidR="0084164B" w:rsidRPr="00515A54">
              <w:rPr>
                <w:rFonts w:cs="Arial"/>
                <w:sz w:val="23"/>
                <w:szCs w:val="23"/>
              </w:rPr>
              <w:t>Transition,</w:t>
            </w:r>
            <w:r w:rsidRPr="00515A54">
              <w:rPr>
                <w:rFonts w:cs="Arial"/>
                <w:sz w:val="23"/>
                <w:szCs w:val="23"/>
              </w:rPr>
              <w:t xml:space="preserve"> the UK will continue to honour any UK commitments for the EU 2014-2020</w:t>
            </w:r>
            <w:r w:rsidR="006F6C99">
              <w:rPr>
                <w:rFonts w:cs="Arial"/>
                <w:sz w:val="23"/>
                <w:szCs w:val="23"/>
              </w:rPr>
              <w:t xml:space="preserve"> budget period</w:t>
            </w:r>
            <w:r w:rsidRPr="00515A54">
              <w:rPr>
                <w:rFonts w:cs="Arial"/>
                <w:sz w:val="23"/>
                <w:szCs w:val="23"/>
              </w:rPr>
              <w:t xml:space="preserve">. The scope of these provisions includes all EU </w:t>
            </w:r>
            <w:r w:rsidR="006F6C99">
              <w:rPr>
                <w:rFonts w:cs="Arial"/>
                <w:sz w:val="23"/>
                <w:szCs w:val="23"/>
              </w:rPr>
              <w:t xml:space="preserve">funding </w:t>
            </w:r>
            <w:r w:rsidRPr="00515A54">
              <w:rPr>
                <w:rFonts w:cs="Arial"/>
                <w:sz w:val="23"/>
                <w:szCs w:val="23"/>
              </w:rPr>
              <w:t xml:space="preserve">programmes. </w:t>
            </w:r>
          </w:p>
          <w:p w14:paraId="33DA7FA9" w14:textId="6CBE60C7" w:rsidR="00931C8A" w:rsidRPr="00515A54" w:rsidRDefault="00931C8A" w:rsidP="007E11E6">
            <w:pPr>
              <w:pStyle w:val="ListParagraph"/>
              <w:numPr>
                <w:ilvl w:val="0"/>
                <w:numId w:val="22"/>
              </w:numPr>
              <w:spacing w:after="60"/>
              <w:ind w:left="360"/>
              <w:contextualSpacing w:val="0"/>
              <w:rPr>
                <w:rFonts w:cs="Arial"/>
                <w:sz w:val="23"/>
                <w:szCs w:val="23"/>
              </w:rPr>
            </w:pPr>
            <w:r w:rsidRPr="00515A54">
              <w:rPr>
                <w:rFonts w:cs="Arial"/>
                <w:sz w:val="23"/>
                <w:szCs w:val="23"/>
              </w:rPr>
              <w:t>The United Kingdom shall only be eligible for financial operations of EU funds provided that those financial operations were decided by the entities and bodies before the date of entry into force of the Withdrawal Agreement, even if the signature of those financial operations took place after that date.</w:t>
            </w:r>
          </w:p>
          <w:p w14:paraId="60604152" w14:textId="021B5740" w:rsidR="00931C8A" w:rsidRPr="00515A54" w:rsidRDefault="00931C8A" w:rsidP="007E11E6">
            <w:pPr>
              <w:pStyle w:val="ListParagraph"/>
              <w:numPr>
                <w:ilvl w:val="0"/>
                <w:numId w:val="22"/>
              </w:numPr>
              <w:spacing w:after="60"/>
              <w:ind w:left="360"/>
              <w:contextualSpacing w:val="0"/>
              <w:rPr>
                <w:rFonts w:cs="Arial"/>
                <w:sz w:val="23"/>
                <w:szCs w:val="23"/>
              </w:rPr>
            </w:pPr>
            <w:r w:rsidRPr="00515A54">
              <w:rPr>
                <w:rFonts w:cs="Arial"/>
                <w:sz w:val="23"/>
                <w:szCs w:val="23"/>
              </w:rPr>
              <w:t>This means that there is legal certainty that all EU funding activities started before Brexit day will continue to be managed, audited, etc as at present, even if the</w:t>
            </w:r>
            <w:r w:rsidR="00E43FBD">
              <w:rPr>
                <w:rFonts w:cs="Arial"/>
                <w:sz w:val="23"/>
                <w:szCs w:val="23"/>
              </w:rPr>
              <w:t>ir effect runs after Brexit day</w:t>
            </w:r>
            <w:r w:rsidRPr="00515A54">
              <w:rPr>
                <w:rFonts w:cs="Arial"/>
                <w:sz w:val="23"/>
                <w:szCs w:val="23"/>
              </w:rPr>
              <w:t>.</w:t>
            </w:r>
          </w:p>
          <w:p w14:paraId="6CB787BD" w14:textId="2AC4BC91" w:rsidR="00931C8A" w:rsidRPr="00515A54" w:rsidRDefault="00931C8A" w:rsidP="007E11E6">
            <w:pPr>
              <w:pStyle w:val="ListParagraph"/>
              <w:numPr>
                <w:ilvl w:val="0"/>
                <w:numId w:val="22"/>
              </w:numPr>
              <w:spacing w:after="60"/>
              <w:ind w:left="360"/>
              <w:contextualSpacing w:val="0"/>
              <w:rPr>
                <w:rFonts w:cs="Arial"/>
                <w:sz w:val="23"/>
                <w:szCs w:val="23"/>
              </w:rPr>
            </w:pPr>
            <w:r w:rsidRPr="00515A54">
              <w:rPr>
                <w:rFonts w:cs="Arial"/>
                <w:sz w:val="23"/>
                <w:szCs w:val="23"/>
              </w:rPr>
              <w:t>Projects before and including the EU Budget period 20</w:t>
            </w:r>
            <w:r w:rsidR="00E43FBD">
              <w:rPr>
                <w:rFonts w:cs="Arial"/>
                <w:sz w:val="23"/>
                <w:szCs w:val="23"/>
              </w:rPr>
              <w:t>14-2020 that are committed after</w:t>
            </w:r>
            <w:r w:rsidRPr="00515A54">
              <w:rPr>
                <w:rFonts w:cs="Arial"/>
                <w:sz w:val="23"/>
                <w:szCs w:val="23"/>
              </w:rPr>
              <w:t xml:space="preserve"> the end of Transition period on 31 December 2020 shall continue </w:t>
            </w:r>
            <w:r w:rsidR="00E43FBD">
              <w:rPr>
                <w:rFonts w:cs="Arial"/>
                <w:sz w:val="23"/>
                <w:szCs w:val="23"/>
              </w:rPr>
              <w:t>to apply as if the UK had</w:t>
            </w:r>
            <w:r w:rsidRPr="00515A54">
              <w:rPr>
                <w:rFonts w:cs="Arial"/>
                <w:sz w:val="23"/>
                <w:szCs w:val="23"/>
              </w:rPr>
              <w:t xml:space="preserve"> left the EU. UK experts (including Councils) can continue attending specialist bodies in charge of advising on the management of the funds.</w:t>
            </w:r>
          </w:p>
          <w:p w14:paraId="2DB68954" w14:textId="7125C308" w:rsidR="00931C8A" w:rsidRPr="00515A54" w:rsidRDefault="00931C8A" w:rsidP="007E11E6">
            <w:pPr>
              <w:pStyle w:val="ListParagraph"/>
              <w:numPr>
                <w:ilvl w:val="0"/>
                <w:numId w:val="22"/>
              </w:numPr>
              <w:spacing w:after="60"/>
              <w:ind w:left="360"/>
              <w:contextualSpacing w:val="0"/>
              <w:rPr>
                <w:rFonts w:cs="Arial"/>
                <w:sz w:val="23"/>
                <w:szCs w:val="23"/>
              </w:rPr>
            </w:pPr>
            <w:r w:rsidRPr="00515A54">
              <w:rPr>
                <w:rFonts w:cs="Arial"/>
                <w:sz w:val="23"/>
                <w:szCs w:val="23"/>
              </w:rPr>
              <w:lastRenderedPageBreak/>
              <w:t>The UK would continue making the payments to the EU budgets on the amounts it had already agreed till 2020 and related extra budgetary funding commitments (external aid, for instance). This does not cover opting in</w:t>
            </w:r>
            <w:r w:rsidR="00281D4C">
              <w:rPr>
                <w:rFonts w:cs="Arial"/>
                <w:sz w:val="23"/>
                <w:szCs w:val="23"/>
              </w:rPr>
              <w:t>to</w:t>
            </w:r>
            <w:r w:rsidRPr="00515A54">
              <w:rPr>
                <w:rFonts w:cs="Arial"/>
                <w:sz w:val="23"/>
                <w:szCs w:val="23"/>
              </w:rPr>
              <w:t xml:space="preserve"> EU funds from the post 2020 Budget.</w:t>
            </w:r>
          </w:p>
          <w:p w14:paraId="6EB1213E" w14:textId="2400A165" w:rsidR="00931C8A" w:rsidRPr="00931C8A" w:rsidRDefault="00931C8A" w:rsidP="007E11E6">
            <w:pPr>
              <w:pStyle w:val="ListParagraph"/>
              <w:numPr>
                <w:ilvl w:val="0"/>
                <w:numId w:val="22"/>
              </w:numPr>
              <w:spacing w:after="60"/>
              <w:ind w:left="360"/>
              <w:contextualSpacing w:val="0"/>
              <w:rPr>
                <w:rFonts w:cs="Arial"/>
                <w:bCs/>
              </w:rPr>
            </w:pPr>
            <w:r w:rsidRPr="00515A54">
              <w:rPr>
                <w:rFonts w:cs="Arial"/>
                <w:sz w:val="23"/>
                <w:szCs w:val="23"/>
              </w:rPr>
              <w:t xml:space="preserve">The draft </w:t>
            </w:r>
            <w:r w:rsidRPr="00515A54">
              <w:rPr>
                <w:rFonts w:cs="Arial"/>
                <w:bCs/>
                <w:sz w:val="23"/>
                <w:szCs w:val="23"/>
              </w:rPr>
              <w:t>foresees the continuation of existing European Investment Bank (EIB) loa</w:t>
            </w:r>
            <w:r w:rsidR="00281D4C">
              <w:rPr>
                <w:rFonts w:cs="Arial"/>
                <w:bCs/>
                <w:sz w:val="23"/>
                <w:szCs w:val="23"/>
              </w:rPr>
              <w:t>ns to UK authorities (running to</w:t>
            </w:r>
            <w:r w:rsidRPr="00515A54">
              <w:rPr>
                <w:rFonts w:cs="Arial"/>
                <w:bCs/>
                <w:sz w:val="23"/>
                <w:szCs w:val="23"/>
              </w:rPr>
              <w:t xml:space="preserve"> several billions) but makes clear that after Withdrawal “neither the United Kingdom nor projects located in the United Kingdom shall be eligible for new financial operations from the EIB group that are reserved for Member Sta</w:t>
            </w:r>
            <w:r w:rsidR="005608EF">
              <w:rPr>
                <w:rFonts w:cs="Arial"/>
                <w:bCs/>
                <w:sz w:val="23"/>
                <w:szCs w:val="23"/>
              </w:rPr>
              <w:t>tes”. This means that the UK will</w:t>
            </w:r>
            <w:r w:rsidRPr="00515A54">
              <w:rPr>
                <w:rFonts w:cs="Arial"/>
                <w:bCs/>
                <w:sz w:val="23"/>
                <w:szCs w:val="23"/>
              </w:rPr>
              <w:t xml:space="preserve"> be eligible for EIB loans that are available to non-EU countries.</w:t>
            </w:r>
          </w:p>
        </w:tc>
      </w:tr>
    </w:tbl>
    <w:p w14:paraId="26E43845" w14:textId="1B905943" w:rsidR="00F048DA" w:rsidRPr="002228E7" w:rsidRDefault="007D7BD9" w:rsidP="007D7BD9">
      <w:pPr>
        <w:spacing w:before="120" w:after="0"/>
        <w:jc w:val="center"/>
        <w:rPr>
          <w:b/>
          <w:sz w:val="52"/>
          <w:szCs w:val="28"/>
        </w:rPr>
      </w:pPr>
      <w:r>
        <w:rPr>
          <w:b/>
          <w:color w:val="7030A0"/>
          <w:sz w:val="52"/>
          <w:szCs w:val="28"/>
        </w:rPr>
        <w:lastRenderedPageBreak/>
        <w:t>Other Issues</w:t>
      </w:r>
    </w:p>
    <w:tbl>
      <w:tblPr>
        <w:tblStyle w:val="TableGrid"/>
        <w:tblW w:w="0" w:type="auto"/>
        <w:tblLook w:val="04A0" w:firstRow="1" w:lastRow="0" w:firstColumn="1" w:lastColumn="0" w:noHBand="0" w:noVBand="1"/>
      </w:tblPr>
      <w:tblGrid>
        <w:gridCol w:w="9016"/>
      </w:tblGrid>
      <w:tr w:rsidR="00F048DA" w:rsidRPr="0075733D" w14:paraId="6622947D" w14:textId="77777777" w:rsidTr="00D4768C">
        <w:tc>
          <w:tcPr>
            <w:tcW w:w="9016" w:type="dxa"/>
            <w:tcBorders>
              <w:top w:val="nil"/>
              <w:left w:val="nil"/>
              <w:bottom w:val="nil"/>
              <w:right w:val="nil"/>
            </w:tcBorders>
            <w:shd w:val="clear" w:color="auto" w:fill="D9E2F3" w:themeFill="accent1" w:themeFillTint="33"/>
          </w:tcPr>
          <w:p w14:paraId="1C4F841D" w14:textId="77777777" w:rsidR="00F048DA" w:rsidRPr="0075733D" w:rsidRDefault="00F048DA" w:rsidP="00D4768C">
            <w:pPr>
              <w:spacing w:after="60"/>
              <w:jc w:val="center"/>
              <w:rPr>
                <w:b/>
                <w:bCs/>
                <w:sz w:val="24"/>
                <w:szCs w:val="24"/>
              </w:rPr>
            </w:pPr>
            <w:r>
              <w:rPr>
                <w:b/>
                <w:bCs/>
                <w:sz w:val="24"/>
                <w:szCs w:val="24"/>
              </w:rPr>
              <w:t>Key Elements</w:t>
            </w:r>
          </w:p>
          <w:p w14:paraId="7C398709" w14:textId="77777777" w:rsidR="007D7BD9" w:rsidRPr="00515A54" w:rsidRDefault="007D7BD9" w:rsidP="007E11E6">
            <w:pPr>
              <w:rPr>
                <w:rFonts w:cs="Arial"/>
                <w:sz w:val="23"/>
                <w:szCs w:val="23"/>
                <w:highlight w:val="yellow"/>
              </w:rPr>
            </w:pPr>
            <w:r w:rsidRPr="00515A54">
              <w:rPr>
                <w:rFonts w:cs="Arial"/>
                <w:b/>
                <w:sz w:val="23"/>
                <w:szCs w:val="23"/>
              </w:rPr>
              <w:t>Other separation issues</w:t>
            </w:r>
          </w:p>
          <w:p w14:paraId="45FE6286" w14:textId="77777777" w:rsidR="007D7BD9" w:rsidRPr="00515A54" w:rsidRDefault="007D7BD9" w:rsidP="007E11E6">
            <w:pPr>
              <w:spacing w:after="60"/>
              <w:rPr>
                <w:rFonts w:cs="Arial"/>
                <w:sz w:val="23"/>
                <w:szCs w:val="23"/>
              </w:rPr>
            </w:pPr>
            <w:r w:rsidRPr="00515A54">
              <w:rPr>
                <w:rFonts w:cs="Arial"/>
                <w:sz w:val="23"/>
                <w:szCs w:val="23"/>
              </w:rPr>
              <w:t>The draft seeks to ensure that Withdrawal results in no break in free movement of goods and services, allowing the EU and UK two years to negotiate the post Brexit Treaty.</w:t>
            </w:r>
          </w:p>
          <w:p w14:paraId="3AE1E398" w14:textId="77777777" w:rsidR="007D7BD9" w:rsidRPr="00515A54" w:rsidRDefault="007D7BD9" w:rsidP="007E11E6">
            <w:pPr>
              <w:rPr>
                <w:rFonts w:cs="Arial"/>
                <w:sz w:val="23"/>
                <w:szCs w:val="23"/>
              </w:rPr>
            </w:pPr>
            <w:r w:rsidRPr="00515A54">
              <w:rPr>
                <w:rFonts w:cs="Arial"/>
                <w:b/>
                <w:sz w:val="23"/>
                <w:szCs w:val="23"/>
              </w:rPr>
              <w:t>Ongoing Police and Judicial Cooperation</w:t>
            </w:r>
          </w:p>
          <w:p w14:paraId="06E4FE96" w14:textId="77777777" w:rsidR="007D7BD9" w:rsidRPr="00515A54" w:rsidRDefault="007D7BD9" w:rsidP="007E11E6">
            <w:pPr>
              <w:spacing w:after="60"/>
              <w:rPr>
                <w:rFonts w:cs="Arial"/>
                <w:sz w:val="23"/>
                <w:szCs w:val="23"/>
              </w:rPr>
            </w:pPr>
            <w:r w:rsidRPr="00515A54">
              <w:rPr>
                <w:rFonts w:cs="Arial"/>
                <w:sz w:val="23"/>
                <w:szCs w:val="23"/>
              </w:rPr>
              <w:t xml:space="preserve">A range of existing EU legislation on these issues continue to be in force at least during the Transition period. However, in successive speeches the Prime Minister made clear that she would be prepared for the post Brexit treaty to continue covering these issues (including being associated to the agencies dealing with these issues such as EUROPOL). </w:t>
            </w:r>
          </w:p>
          <w:p w14:paraId="2B23E0D4" w14:textId="77777777" w:rsidR="007D7BD9" w:rsidRPr="00515A54" w:rsidRDefault="007D7BD9" w:rsidP="007E11E6">
            <w:pPr>
              <w:rPr>
                <w:rFonts w:cs="Arial"/>
                <w:sz w:val="23"/>
                <w:szCs w:val="23"/>
              </w:rPr>
            </w:pPr>
            <w:r w:rsidRPr="00515A54">
              <w:rPr>
                <w:rFonts w:cs="Arial"/>
                <w:b/>
                <w:sz w:val="23"/>
                <w:szCs w:val="23"/>
              </w:rPr>
              <w:t>Other issues</w:t>
            </w:r>
          </w:p>
          <w:p w14:paraId="1A74E6F5" w14:textId="77777777" w:rsidR="007D7BD9" w:rsidRPr="00515A54" w:rsidRDefault="007D7BD9" w:rsidP="007E11E6">
            <w:pPr>
              <w:spacing w:after="60"/>
              <w:rPr>
                <w:rFonts w:cs="Arial"/>
                <w:sz w:val="23"/>
                <w:szCs w:val="23"/>
              </w:rPr>
            </w:pPr>
            <w:r w:rsidRPr="00515A54">
              <w:rPr>
                <w:rFonts w:cs="Arial"/>
                <w:sz w:val="23"/>
                <w:szCs w:val="23"/>
              </w:rPr>
              <w:t>It is likely that Data protection and management issues will be carried over in the post Brexit Treaty due to the security and commercial implications.</w:t>
            </w:r>
          </w:p>
          <w:p w14:paraId="7E7F62B3" w14:textId="7E298027" w:rsidR="007D7BD9" w:rsidRPr="00515A54" w:rsidRDefault="007D7BD9" w:rsidP="007E11E6">
            <w:pPr>
              <w:spacing w:after="60"/>
              <w:rPr>
                <w:rFonts w:cs="Arial"/>
                <w:sz w:val="23"/>
                <w:szCs w:val="23"/>
              </w:rPr>
            </w:pPr>
            <w:r w:rsidRPr="00515A54">
              <w:rPr>
                <w:rFonts w:cs="Arial"/>
                <w:sz w:val="23"/>
                <w:szCs w:val="23"/>
              </w:rPr>
              <w:t xml:space="preserve">Procurement matters will most likely be dealt with in a similar </w:t>
            </w:r>
            <w:r w:rsidR="005608EF">
              <w:rPr>
                <w:rFonts w:cs="Arial"/>
                <w:sz w:val="23"/>
                <w:szCs w:val="23"/>
              </w:rPr>
              <w:t>way to the Canada-</w:t>
            </w:r>
            <w:r w:rsidRPr="00515A54">
              <w:rPr>
                <w:rFonts w:cs="Arial"/>
                <w:sz w:val="23"/>
                <w:szCs w:val="23"/>
              </w:rPr>
              <w:t>EU deal in the post Brexit EU-UK Free Trade and Partnership Treaty.</w:t>
            </w:r>
          </w:p>
          <w:p w14:paraId="5AD61DDB" w14:textId="77777777" w:rsidR="007D7BD9" w:rsidRPr="00515A54" w:rsidRDefault="007D7BD9" w:rsidP="007E11E6">
            <w:pPr>
              <w:spacing w:after="60"/>
              <w:rPr>
                <w:rFonts w:cs="Arial"/>
                <w:sz w:val="23"/>
                <w:szCs w:val="23"/>
              </w:rPr>
            </w:pPr>
            <w:r w:rsidRPr="00515A54">
              <w:rPr>
                <w:rFonts w:cs="Arial"/>
                <w:sz w:val="23"/>
                <w:szCs w:val="23"/>
              </w:rPr>
              <w:t>The UK will leave EURATOM and the UK will create their own agency to deal with management of radioactive materials including fissile material shipments.</w:t>
            </w:r>
          </w:p>
          <w:p w14:paraId="4B86B41F" w14:textId="77777777" w:rsidR="007D7BD9" w:rsidRPr="00515A54" w:rsidRDefault="007D7BD9" w:rsidP="007E11E6">
            <w:pPr>
              <w:rPr>
                <w:rFonts w:cs="Arial"/>
                <w:b/>
                <w:bCs/>
                <w:sz w:val="23"/>
                <w:szCs w:val="23"/>
              </w:rPr>
            </w:pPr>
            <w:r w:rsidRPr="00515A54">
              <w:rPr>
                <w:rFonts w:cs="Arial"/>
                <w:b/>
                <w:bCs/>
                <w:sz w:val="23"/>
                <w:szCs w:val="23"/>
              </w:rPr>
              <w:t>Protocol on Gibraltar</w:t>
            </w:r>
          </w:p>
          <w:p w14:paraId="6AD41B27" w14:textId="09B8E9FF" w:rsidR="00F048DA" w:rsidRPr="007D7BD9" w:rsidRDefault="007D7BD9" w:rsidP="007E11E6">
            <w:pPr>
              <w:spacing w:after="60"/>
              <w:rPr>
                <w:rFonts w:cs="Arial"/>
                <w:bCs/>
              </w:rPr>
            </w:pPr>
            <w:r w:rsidRPr="00515A54">
              <w:rPr>
                <w:rFonts w:cs="Arial"/>
                <w:bCs/>
                <w:sz w:val="23"/>
                <w:szCs w:val="23"/>
              </w:rPr>
              <w:t>This will be similar in structure to that of Northern Ireland, with the difference that there will be a bilateral UK-Spanish body to deal with a range of issues of common interest.</w:t>
            </w:r>
            <w:r w:rsidR="00F048DA" w:rsidRPr="007D7BD9">
              <w:rPr>
                <w:rFonts w:cs="Arial"/>
                <w:bCs/>
              </w:rPr>
              <w:t xml:space="preserve"> </w:t>
            </w:r>
          </w:p>
        </w:tc>
      </w:tr>
    </w:tbl>
    <w:p w14:paraId="13F18A89" w14:textId="748A8B24" w:rsidR="007D7BD9" w:rsidRPr="002228E7" w:rsidRDefault="007D7BD9" w:rsidP="007D7BD9">
      <w:pPr>
        <w:spacing w:before="120" w:after="0"/>
        <w:jc w:val="center"/>
        <w:rPr>
          <w:b/>
          <w:sz w:val="52"/>
          <w:szCs w:val="28"/>
        </w:rPr>
      </w:pPr>
      <w:r>
        <w:rPr>
          <w:b/>
          <w:color w:val="7030A0"/>
          <w:sz w:val="52"/>
          <w:szCs w:val="28"/>
        </w:rPr>
        <w:t>Draft Joint Declaration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016"/>
      </w:tblGrid>
      <w:tr w:rsidR="000A28A8" w:rsidRPr="0075733D" w14:paraId="48321D73" w14:textId="77777777" w:rsidTr="0010654B">
        <w:tc>
          <w:tcPr>
            <w:tcW w:w="9016" w:type="dxa"/>
            <w:shd w:val="clear" w:color="auto" w:fill="EDEDED" w:themeFill="accent3" w:themeFillTint="33"/>
          </w:tcPr>
          <w:p w14:paraId="3E4F2B17" w14:textId="5332FBFE" w:rsidR="007D7BD9" w:rsidRPr="00515A54" w:rsidRDefault="007D7BD9" w:rsidP="007E11E6">
            <w:pPr>
              <w:spacing w:after="60"/>
              <w:rPr>
                <w:rFonts w:cs="Arial"/>
                <w:sz w:val="23"/>
                <w:szCs w:val="23"/>
              </w:rPr>
            </w:pPr>
            <w:r w:rsidRPr="00515A54">
              <w:rPr>
                <w:rFonts w:cs="Arial"/>
                <w:sz w:val="23"/>
                <w:szCs w:val="23"/>
              </w:rPr>
              <w:t xml:space="preserve">The draft Political Declaration is a list of bullet points rather than the politically binding and detailed declaration that theoretically needs to be agreed by </w:t>
            </w:r>
            <w:r w:rsidR="005608EF">
              <w:rPr>
                <w:rFonts w:cs="Arial"/>
                <w:sz w:val="23"/>
                <w:szCs w:val="23"/>
              </w:rPr>
              <w:t xml:space="preserve">the </w:t>
            </w:r>
            <w:r w:rsidRPr="00515A54">
              <w:rPr>
                <w:rFonts w:cs="Arial"/>
                <w:sz w:val="23"/>
                <w:szCs w:val="23"/>
              </w:rPr>
              <w:t xml:space="preserve">December 14 EU Summit. It lists </w:t>
            </w:r>
            <w:r w:rsidR="0084164B" w:rsidRPr="00515A54">
              <w:rPr>
                <w:rFonts w:cs="Arial"/>
                <w:sz w:val="23"/>
                <w:szCs w:val="23"/>
              </w:rPr>
              <w:t>several</w:t>
            </w:r>
            <w:r w:rsidRPr="00515A54">
              <w:rPr>
                <w:rFonts w:cs="Arial"/>
                <w:sz w:val="23"/>
                <w:szCs w:val="23"/>
              </w:rPr>
              <w:t xml:space="preserve"> issues that will form the Economic and Political Partnership to be developed.</w:t>
            </w:r>
          </w:p>
          <w:p w14:paraId="4BB1B70E" w14:textId="3EC331F8" w:rsidR="007D7BD9" w:rsidRPr="00515A54" w:rsidRDefault="007D7BD9" w:rsidP="007E11E6">
            <w:pPr>
              <w:spacing w:after="60"/>
              <w:rPr>
                <w:rFonts w:cs="Arial"/>
                <w:sz w:val="23"/>
                <w:szCs w:val="23"/>
              </w:rPr>
            </w:pPr>
            <w:r w:rsidRPr="00515A54">
              <w:rPr>
                <w:rFonts w:cs="Arial"/>
                <w:sz w:val="23"/>
                <w:szCs w:val="23"/>
              </w:rPr>
              <w:t xml:space="preserve">It will include the terms for the United </w:t>
            </w:r>
            <w:r w:rsidR="005608EF">
              <w:rPr>
                <w:rFonts w:cs="Arial"/>
                <w:sz w:val="23"/>
                <w:szCs w:val="23"/>
              </w:rPr>
              <w:t>Kingdom’s participation in EU</w:t>
            </w:r>
            <w:r w:rsidRPr="00515A54">
              <w:rPr>
                <w:rFonts w:cs="Arial"/>
                <w:sz w:val="23"/>
                <w:szCs w:val="23"/>
              </w:rPr>
              <w:t xml:space="preserve"> programmes (2021-2027), subject to the conditions set out in the corresponding Union instruments, such as in science and innovation, culture and education, development, defence capabilities, civil protection and space.</w:t>
            </w:r>
          </w:p>
          <w:p w14:paraId="55785463" w14:textId="77777777" w:rsidR="007D7BD9" w:rsidRPr="00515A54" w:rsidRDefault="007D7BD9" w:rsidP="007E11E6">
            <w:pPr>
              <w:spacing w:after="60"/>
              <w:rPr>
                <w:rFonts w:cs="Arial"/>
                <w:sz w:val="23"/>
                <w:szCs w:val="23"/>
              </w:rPr>
            </w:pPr>
            <w:r w:rsidRPr="00515A54">
              <w:rPr>
                <w:rFonts w:cs="Arial"/>
                <w:sz w:val="23"/>
                <w:szCs w:val="23"/>
              </w:rPr>
              <w:t xml:space="preserve">Some issues to be included are going to be a continuation of the provisions of the Withdrawal Agreement (data, trade in goods).  </w:t>
            </w:r>
          </w:p>
          <w:p w14:paraId="2E253256" w14:textId="69F1B6E2" w:rsidR="007D7BD9" w:rsidRPr="00515A54" w:rsidRDefault="007D7BD9" w:rsidP="007E11E6">
            <w:pPr>
              <w:spacing w:after="60"/>
              <w:rPr>
                <w:rFonts w:cs="Arial"/>
                <w:sz w:val="23"/>
                <w:szCs w:val="23"/>
              </w:rPr>
            </w:pPr>
            <w:r w:rsidRPr="00515A54">
              <w:rPr>
                <w:rFonts w:cs="Arial"/>
                <w:sz w:val="23"/>
                <w:szCs w:val="23"/>
              </w:rPr>
              <w:t xml:space="preserve">Other key issues are still to be negotiated such as Open Skies (Air Services Agreement) or energy links. </w:t>
            </w:r>
          </w:p>
          <w:p w14:paraId="42CFB6BC" w14:textId="0F51DF7B" w:rsidR="007D7BD9" w:rsidRPr="00515A54" w:rsidRDefault="007D7BD9" w:rsidP="007E11E6">
            <w:pPr>
              <w:spacing w:after="60"/>
              <w:rPr>
                <w:rFonts w:cs="Arial"/>
                <w:sz w:val="23"/>
                <w:szCs w:val="23"/>
              </w:rPr>
            </w:pPr>
            <w:r w:rsidRPr="00515A54">
              <w:rPr>
                <w:rFonts w:cs="Arial"/>
                <w:sz w:val="23"/>
                <w:szCs w:val="23"/>
              </w:rPr>
              <w:t>The agreement should also cover ser</w:t>
            </w:r>
            <w:r w:rsidR="00276163">
              <w:rPr>
                <w:rFonts w:cs="Arial"/>
                <w:sz w:val="23"/>
                <w:szCs w:val="23"/>
              </w:rPr>
              <w:t>vices or procurement, just as</w:t>
            </w:r>
            <w:r w:rsidRPr="00515A54">
              <w:rPr>
                <w:rFonts w:cs="Arial"/>
                <w:sz w:val="23"/>
                <w:szCs w:val="23"/>
              </w:rPr>
              <w:t xml:space="preserve"> is the case </w:t>
            </w:r>
            <w:r w:rsidR="00276163">
              <w:rPr>
                <w:rFonts w:cs="Arial"/>
                <w:sz w:val="23"/>
                <w:szCs w:val="23"/>
              </w:rPr>
              <w:t xml:space="preserve">in other trade deals such as </w:t>
            </w:r>
            <w:r w:rsidR="00BE7B5B">
              <w:rPr>
                <w:rFonts w:cs="Arial"/>
                <w:sz w:val="23"/>
                <w:szCs w:val="23"/>
              </w:rPr>
              <w:t xml:space="preserve">the </w:t>
            </w:r>
            <w:r w:rsidRPr="00515A54">
              <w:rPr>
                <w:rFonts w:cs="Arial"/>
                <w:sz w:val="23"/>
                <w:szCs w:val="23"/>
              </w:rPr>
              <w:t>Canada</w:t>
            </w:r>
            <w:r w:rsidR="00276163">
              <w:rPr>
                <w:rFonts w:cs="Arial"/>
                <w:sz w:val="23"/>
                <w:szCs w:val="23"/>
              </w:rPr>
              <w:t>-EU</w:t>
            </w:r>
            <w:r w:rsidRPr="00515A54">
              <w:rPr>
                <w:rFonts w:cs="Arial"/>
                <w:sz w:val="23"/>
                <w:szCs w:val="23"/>
              </w:rPr>
              <w:t xml:space="preserve"> </w:t>
            </w:r>
            <w:r w:rsidR="00BE7B5B">
              <w:rPr>
                <w:rFonts w:cs="Arial"/>
                <w:sz w:val="23"/>
                <w:szCs w:val="23"/>
              </w:rPr>
              <w:t xml:space="preserve">Comprehensive Economic Trade Agreement </w:t>
            </w:r>
            <w:r w:rsidRPr="00515A54">
              <w:rPr>
                <w:rFonts w:cs="Arial"/>
                <w:sz w:val="23"/>
                <w:szCs w:val="23"/>
              </w:rPr>
              <w:t>(CETA).</w:t>
            </w:r>
          </w:p>
          <w:p w14:paraId="5AA006CF" w14:textId="120D4207" w:rsidR="000A28A8" w:rsidRPr="007D7BD9" w:rsidRDefault="00395D2E" w:rsidP="007E11E6">
            <w:pPr>
              <w:spacing w:after="60"/>
              <w:rPr>
                <w:rFonts w:cs="Arial"/>
              </w:rPr>
            </w:pPr>
            <w:r>
              <w:rPr>
                <w:rFonts w:cs="Arial"/>
                <w:sz w:val="23"/>
                <w:szCs w:val="23"/>
              </w:rPr>
              <w:t>N</w:t>
            </w:r>
            <w:r w:rsidR="007D7BD9" w:rsidRPr="00515A54">
              <w:rPr>
                <w:rFonts w:cs="Arial"/>
                <w:sz w:val="23"/>
                <w:szCs w:val="23"/>
              </w:rPr>
              <w:t>o mention is made of the UK participating in EU Agencies (pharmaceutical authorisations for instance, where the UK is the European leader) other than possible cooperation on police and security matters.</w:t>
            </w:r>
          </w:p>
        </w:tc>
      </w:tr>
    </w:tbl>
    <w:p w14:paraId="152B9B08" w14:textId="0C2988C6" w:rsidR="00D8053C" w:rsidRDefault="00D8053C" w:rsidP="00E356FA">
      <w:pPr>
        <w:spacing w:after="0"/>
        <w:rPr>
          <w:sz w:val="24"/>
          <w:szCs w:val="24"/>
        </w:rPr>
      </w:pPr>
    </w:p>
    <w:p w14:paraId="13FB8933" w14:textId="77777777" w:rsidR="00B40B0E" w:rsidRDefault="00B40B0E" w:rsidP="00AD003D">
      <w:pPr>
        <w:spacing w:after="0"/>
        <w:rPr>
          <w:b/>
          <w:sz w:val="24"/>
        </w:rPr>
        <w:sectPr w:rsidR="00B40B0E" w:rsidSect="00B40B0E">
          <w:type w:val="continuous"/>
          <w:pgSz w:w="11906" w:h="16838"/>
          <w:pgMar w:top="567" w:right="1440" w:bottom="567" w:left="1440" w:header="709" w:footer="114" w:gutter="0"/>
          <w:cols w:space="708"/>
          <w:docGrid w:linePitch="360"/>
        </w:sectPr>
      </w:pPr>
    </w:p>
    <w:p w14:paraId="070A829D" w14:textId="28F9D8B6" w:rsidR="007A1778" w:rsidRDefault="007A1778" w:rsidP="00AD003D">
      <w:pPr>
        <w:spacing w:after="0"/>
        <w:rPr>
          <w:b/>
          <w:sz w:val="24"/>
        </w:rPr>
        <w:sectPr w:rsidR="007A1778" w:rsidSect="00B40B0E">
          <w:type w:val="continuous"/>
          <w:pgSz w:w="11906" w:h="16838"/>
          <w:pgMar w:top="567" w:right="1440" w:bottom="567" w:left="1440" w:header="709" w:footer="114" w:gutter="0"/>
          <w:cols w:space="708"/>
          <w:docGrid w:linePitch="360"/>
        </w:sectPr>
      </w:pPr>
    </w:p>
    <w:p w14:paraId="20B1EFE9" w14:textId="77777777" w:rsidR="00F477CC" w:rsidRPr="001E6959" w:rsidRDefault="00F477CC" w:rsidP="001E6959">
      <w:pPr>
        <w:spacing w:before="120" w:after="0"/>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016"/>
      </w:tblGrid>
      <w:tr w:rsidR="001E6959" w:rsidRPr="0075733D" w14:paraId="6C8241C4" w14:textId="77777777" w:rsidTr="00D4768C">
        <w:tc>
          <w:tcPr>
            <w:tcW w:w="9016" w:type="dxa"/>
            <w:shd w:val="clear" w:color="auto" w:fill="EDEDED" w:themeFill="accent3" w:themeFillTint="33"/>
          </w:tcPr>
          <w:p w14:paraId="2ADBDFE5" w14:textId="6FDC57E8" w:rsidR="001E6959" w:rsidRPr="001E6959" w:rsidRDefault="001E6959" w:rsidP="001E6959">
            <w:pPr>
              <w:spacing w:after="60"/>
              <w:jc w:val="center"/>
              <w:rPr>
                <w:b/>
                <w:bCs/>
                <w:sz w:val="24"/>
                <w:szCs w:val="24"/>
              </w:rPr>
            </w:pPr>
            <w:r>
              <w:rPr>
                <w:b/>
                <w:bCs/>
                <w:sz w:val="24"/>
                <w:szCs w:val="24"/>
              </w:rPr>
              <w:t>Conclusion</w:t>
            </w:r>
          </w:p>
          <w:p w14:paraId="50292557" w14:textId="6332F3D0" w:rsidR="001E6959" w:rsidRDefault="001E6959" w:rsidP="00624E31">
            <w:pPr>
              <w:spacing w:after="60"/>
              <w:jc w:val="center"/>
              <w:rPr>
                <w:rFonts w:cs="Arial"/>
                <w:b/>
                <w:sz w:val="23"/>
                <w:szCs w:val="23"/>
              </w:rPr>
            </w:pPr>
            <w:r w:rsidRPr="00515A54">
              <w:rPr>
                <w:rFonts w:cs="Arial"/>
                <w:b/>
                <w:sz w:val="23"/>
                <w:szCs w:val="23"/>
              </w:rPr>
              <w:t>COSLA has been actively influencing in London, Brussels and Edinburgh on the ongoing negotiations, with the input at officer and political level of our member Councils and in partnership with our peers from the rest of the UK and indeed likeminded counterparts from the rest of the EU. We will continue to do so to ensure the best deal possible for our communities and a continued relationship, albeit in different terms, with our colleagues in the continuing EU.</w:t>
            </w:r>
          </w:p>
          <w:p w14:paraId="3D0AD4E2" w14:textId="77777777" w:rsidR="00C97FCB" w:rsidRPr="00515A54" w:rsidRDefault="00C97FCB" w:rsidP="00624E31">
            <w:pPr>
              <w:spacing w:after="60"/>
              <w:jc w:val="center"/>
              <w:rPr>
                <w:rFonts w:cs="Arial"/>
                <w:b/>
                <w:sz w:val="23"/>
                <w:szCs w:val="23"/>
              </w:rPr>
            </w:pPr>
          </w:p>
          <w:p w14:paraId="14D374A0" w14:textId="3CECC99C" w:rsidR="0084164B" w:rsidRPr="00515A54" w:rsidRDefault="001E6959" w:rsidP="00624E31">
            <w:pPr>
              <w:spacing w:after="60"/>
              <w:jc w:val="center"/>
              <w:rPr>
                <w:b/>
                <w:sz w:val="23"/>
                <w:szCs w:val="23"/>
              </w:rPr>
            </w:pPr>
            <w:r w:rsidRPr="00515A54">
              <w:rPr>
                <w:b/>
                <w:sz w:val="23"/>
                <w:szCs w:val="23"/>
              </w:rPr>
              <w:t xml:space="preserve">This is an </w:t>
            </w:r>
            <w:r w:rsidR="00C97FCB">
              <w:rPr>
                <w:b/>
                <w:sz w:val="23"/>
                <w:szCs w:val="23"/>
              </w:rPr>
              <w:t>‘</w:t>
            </w:r>
            <w:r w:rsidRPr="00515A54">
              <w:rPr>
                <w:b/>
                <w:sz w:val="23"/>
                <w:szCs w:val="23"/>
              </w:rPr>
              <w:t>on the day</w:t>
            </w:r>
            <w:r w:rsidR="00847070">
              <w:rPr>
                <w:b/>
                <w:sz w:val="23"/>
                <w:szCs w:val="23"/>
              </w:rPr>
              <w:t>’</w:t>
            </w:r>
            <w:r w:rsidRPr="00515A54">
              <w:rPr>
                <w:b/>
                <w:sz w:val="23"/>
                <w:szCs w:val="23"/>
              </w:rPr>
              <w:t xml:space="preserve"> assessment of a </w:t>
            </w:r>
            <w:r w:rsidR="00F626B5">
              <w:rPr>
                <w:b/>
                <w:sz w:val="23"/>
                <w:szCs w:val="23"/>
              </w:rPr>
              <w:t>lengthy</w:t>
            </w:r>
            <w:r w:rsidR="00B413F7">
              <w:rPr>
                <w:b/>
                <w:sz w:val="23"/>
                <w:szCs w:val="23"/>
              </w:rPr>
              <w:t xml:space="preserve"> technical document and further specific analysis, as it affects Local Government</w:t>
            </w:r>
            <w:r w:rsidR="001B7BA7">
              <w:rPr>
                <w:b/>
                <w:sz w:val="23"/>
                <w:szCs w:val="23"/>
              </w:rPr>
              <w:t>, will be undertaken over coming months</w:t>
            </w:r>
            <w:r w:rsidR="00F477CC">
              <w:rPr>
                <w:b/>
                <w:sz w:val="23"/>
                <w:szCs w:val="23"/>
              </w:rPr>
              <w:t xml:space="preserve"> </w:t>
            </w:r>
            <w:r w:rsidR="001B7BA7">
              <w:rPr>
                <w:b/>
                <w:sz w:val="23"/>
                <w:szCs w:val="23"/>
              </w:rPr>
              <w:t xml:space="preserve">and reported appropriately through COSLA’s governance </w:t>
            </w:r>
            <w:r w:rsidR="00E67801">
              <w:rPr>
                <w:b/>
                <w:sz w:val="23"/>
                <w:szCs w:val="23"/>
              </w:rPr>
              <w:t>structures.</w:t>
            </w:r>
          </w:p>
          <w:p w14:paraId="6FD3E451" w14:textId="77777777" w:rsidR="0084164B" w:rsidRPr="00515A54" w:rsidRDefault="0084164B" w:rsidP="001E6959">
            <w:pPr>
              <w:spacing w:after="60"/>
              <w:rPr>
                <w:sz w:val="23"/>
                <w:szCs w:val="23"/>
              </w:rPr>
            </w:pPr>
          </w:p>
          <w:p w14:paraId="0625A046" w14:textId="76135CC1" w:rsidR="0084164B" w:rsidRPr="0084164B" w:rsidRDefault="0084164B" w:rsidP="0084164B">
            <w:pPr>
              <w:spacing w:after="60"/>
              <w:jc w:val="right"/>
              <w:rPr>
                <w:b/>
              </w:rPr>
            </w:pPr>
            <w:r w:rsidRPr="00515A54">
              <w:rPr>
                <w:b/>
                <w:sz w:val="23"/>
                <w:szCs w:val="23"/>
              </w:rPr>
              <w:t>November 2018</w:t>
            </w:r>
            <w:r w:rsidR="0017691A">
              <w:rPr>
                <w:b/>
                <w:sz w:val="23"/>
                <w:szCs w:val="23"/>
              </w:rPr>
              <w:t>.</w:t>
            </w:r>
          </w:p>
        </w:tc>
      </w:tr>
    </w:tbl>
    <w:p w14:paraId="43407509" w14:textId="6A8547AF" w:rsidR="00A374E0" w:rsidRPr="00600A0F" w:rsidRDefault="00A374E0" w:rsidP="00E356FA">
      <w:pPr>
        <w:spacing w:after="0"/>
        <w:rPr>
          <w:sz w:val="24"/>
          <w:szCs w:val="24"/>
        </w:rPr>
      </w:pPr>
    </w:p>
    <w:sectPr w:rsidR="00A374E0" w:rsidRPr="00600A0F" w:rsidSect="00F23AB7">
      <w:footerReference w:type="default" r:id="rId14"/>
      <w:type w:val="continuous"/>
      <w:pgSz w:w="11906" w:h="16838"/>
      <w:pgMar w:top="567" w:right="1440" w:bottom="156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9D8FA" w14:textId="77777777" w:rsidR="00181589" w:rsidRDefault="00181589" w:rsidP="00BB0ACC">
      <w:pPr>
        <w:spacing w:after="0" w:line="240" w:lineRule="auto"/>
      </w:pPr>
      <w:r>
        <w:separator/>
      </w:r>
    </w:p>
  </w:endnote>
  <w:endnote w:type="continuationSeparator" w:id="0">
    <w:p w14:paraId="0D9C7D1F" w14:textId="77777777" w:rsidR="00181589" w:rsidRDefault="00181589" w:rsidP="00BB0ACC">
      <w:pPr>
        <w:spacing w:after="0" w:line="240" w:lineRule="auto"/>
      </w:pPr>
      <w:r>
        <w:continuationSeparator/>
      </w:r>
    </w:p>
  </w:endnote>
  <w:endnote w:type="continuationNotice" w:id="1">
    <w:p w14:paraId="01734165" w14:textId="77777777" w:rsidR="00181589" w:rsidRDefault="001815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2CF71" w14:textId="246A9C45" w:rsidR="00B102B6" w:rsidRDefault="00B40B0E" w:rsidP="00B40B0E">
    <w:pPr>
      <w:pStyle w:val="Footer"/>
      <w:tabs>
        <w:tab w:val="clear" w:pos="4513"/>
        <w:tab w:val="clear" w:pos="9026"/>
        <w:tab w:val="left" w:pos="480"/>
        <w:tab w:val="left" w:pos="900"/>
        <w:tab w:val="left" w:pos="3276"/>
      </w:tabs>
    </w:pPr>
    <w:r>
      <w:tab/>
    </w:r>
  </w:p>
  <w:p w14:paraId="680464F7" w14:textId="77777777" w:rsidR="00B102B6" w:rsidRDefault="00B102B6" w:rsidP="00B102B6">
    <w:pPr>
      <w:pStyle w:val="Footer"/>
      <w:tabs>
        <w:tab w:val="clear" w:pos="4513"/>
        <w:tab w:val="clear" w:pos="9026"/>
        <w:tab w:val="left" w:pos="900"/>
        <w:tab w:val="left" w:pos="3276"/>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1" w:themeFillShade="80"/>
      <w:tblLook w:val="04A0" w:firstRow="1" w:lastRow="0" w:firstColumn="1" w:lastColumn="0" w:noHBand="0" w:noVBand="1"/>
    </w:tblPr>
    <w:tblGrid>
      <w:gridCol w:w="3969"/>
      <w:gridCol w:w="7371"/>
    </w:tblGrid>
    <w:tr w:rsidR="00B40B0E" w14:paraId="4B507F96" w14:textId="77777777" w:rsidTr="006F4371">
      <w:trPr>
        <w:trHeight w:val="1544"/>
      </w:trPr>
      <w:tc>
        <w:tcPr>
          <w:tcW w:w="3969" w:type="dxa"/>
          <w:shd w:val="clear" w:color="auto" w:fill="1F3864" w:themeFill="accent1" w:themeFillShade="80"/>
        </w:tcPr>
        <w:p w14:paraId="0E7EA1AF" w14:textId="4CAEBFE7" w:rsidR="00B40B0E" w:rsidRDefault="00B40B0E" w:rsidP="00B40B0E">
          <w:pPr>
            <w:pStyle w:val="Footer"/>
            <w:spacing w:before="240" w:line="480" w:lineRule="auto"/>
          </w:pPr>
          <w:r>
            <w:t xml:space="preserve">   </w:t>
          </w:r>
          <w:r>
            <w:rPr>
              <w:noProof/>
            </w:rPr>
            <w:drawing>
              <wp:inline distT="0" distB="0" distL="0" distR="0" wp14:anchorId="6A3B8005" wp14:editId="07AB3A8D">
                <wp:extent cx="788670" cy="60393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017" cy="615688"/>
                        </a:xfrm>
                        <a:prstGeom prst="rect">
                          <a:avLst/>
                        </a:prstGeom>
                        <a:noFill/>
                        <a:ln>
                          <a:noFill/>
                        </a:ln>
                      </pic:spPr>
                    </pic:pic>
                  </a:graphicData>
                </a:graphic>
              </wp:inline>
            </w:drawing>
          </w:r>
        </w:p>
      </w:tc>
      <w:tc>
        <w:tcPr>
          <w:tcW w:w="7371" w:type="dxa"/>
          <w:shd w:val="clear" w:color="auto" w:fill="1F3864" w:themeFill="accent1" w:themeFillShade="80"/>
        </w:tcPr>
        <w:p w14:paraId="2B0D6DA6" w14:textId="77777777" w:rsidR="00B40B0E" w:rsidRDefault="00B40B0E" w:rsidP="00B40B0E">
          <w:pPr>
            <w:pStyle w:val="Footer"/>
            <w:jc w:val="right"/>
          </w:pPr>
        </w:p>
        <w:p w14:paraId="3D344030" w14:textId="77777777" w:rsidR="00B40B0E" w:rsidRDefault="00B40B0E" w:rsidP="00B40B0E">
          <w:pPr>
            <w:pStyle w:val="Footer"/>
            <w:jc w:val="right"/>
            <w:rPr>
              <w:color w:val="FFFFFF" w:themeColor="background1"/>
            </w:rPr>
          </w:pPr>
          <w:r>
            <w:rPr>
              <w:color w:val="FFFFFF" w:themeColor="background1"/>
            </w:rPr>
            <w:t>COSLA, the Convention of Scottish Local Authorities, is the representative voice of Local Government in Scotland</w:t>
          </w:r>
        </w:p>
        <w:p w14:paraId="188F44D6" w14:textId="77777777" w:rsidR="00B40B0E" w:rsidRPr="00B102B6" w:rsidRDefault="00B40B0E" w:rsidP="00B40B0E">
          <w:pPr>
            <w:pStyle w:val="Footer"/>
            <w:jc w:val="right"/>
            <w:rPr>
              <w:color w:val="FFFFFF" w:themeColor="background1"/>
            </w:rPr>
          </w:pPr>
          <w:r>
            <w:rPr>
              <w:color w:val="FFFFFF" w:themeColor="background1"/>
            </w:rPr>
            <w:t>www.cosla.gov.uk</w:t>
          </w:r>
        </w:p>
      </w:tc>
    </w:tr>
  </w:tbl>
  <w:p w14:paraId="296EEA20" w14:textId="3B51D03E" w:rsidR="00B40B0E" w:rsidRDefault="00B40B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1" w:themeFillShade="80"/>
      <w:tblLook w:val="04A0" w:firstRow="1" w:lastRow="0" w:firstColumn="1" w:lastColumn="0" w:noHBand="0" w:noVBand="1"/>
    </w:tblPr>
    <w:tblGrid>
      <w:gridCol w:w="3969"/>
      <w:gridCol w:w="7371"/>
    </w:tblGrid>
    <w:tr w:rsidR="00F23AB7" w14:paraId="68B799A1" w14:textId="77777777" w:rsidTr="0C0A4F0A">
      <w:trPr>
        <w:trHeight w:val="1544"/>
      </w:trPr>
      <w:tc>
        <w:tcPr>
          <w:tcW w:w="3969" w:type="dxa"/>
          <w:shd w:val="clear" w:color="auto" w:fill="1F3864"/>
        </w:tcPr>
        <w:p w14:paraId="5A83D320" w14:textId="2CA780E6" w:rsidR="00F23AB7" w:rsidRDefault="00F23AB7" w:rsidP="00F23AB7">
          <w:pPr>
            <w:pStyle w:val="Footer"/>
            <w:spacing w:before="240" w:line="480" w:lineRule="auto"/>
          </w:pPr>
          <w:r>
            <w:t xml:space="preserve">   </w:t>
          </w:r>
          <w:r>
            <w:rPr>
              <w:noProof/>
            </w:rPr>
            <w:drawing>
              <wp:inline distT="0" distB="0" distL="0" distR="0" wp14:anchorId="52B0C4C2" wp14:editId="292B6515">
                <wp:extent cx="788670" cy="603936"/>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017" cy="615688"/>
                        </a:xfrm>
                        <a:prstGeom prst="rect">
                          <a:avLst/>
                        </a:prstGeom>
                        <a:noFill/>
                        <a:ln>
                          <a:noFill/>
                        </a:ln>
                      </pic:spPr>
                    </pic:pic>
                  </a:graphicData>
                </a:graphic>
              </wp:inline>
            </w:drawing>
          </w:r>
        </w:p>
      </w:tc>
      <w:tc>
        <w:tcPr>
          <w:tcW w:w="7371" w:type="dxa"/>
          <w:shd w:val="clear" w:color="auto" w:fill="1F3864"/>
        </w:tcPr>
        <w:p w14:paraId="0E474F51" w14:textId="77777777" w:rsidR="00F23AB7" w:rsidRDefault="00F23AB7" w:rsidP="00F23AB7">
          <w:pPr>
            <w:pStyle w:val="Footer"/>
            <w:jc w:val="right"/>
          </w:pPr>
        </w:p>
        <w:p w14:paraId="60BA7DFC" w14:textId="35383540" w:rsidR="00F23AB7" w:rsidRDefault="00731180" w:rsidP="00F23AB7">
          <w:pPr>
            <w:pStyle w:val="Footer"/>
            <w:jc w:val="right"/>
            <w:rPr>
              <w:color w:val="FFFFFF" w:themeColor="background1"/>
            </w:rPr>
          </w:pPr>
          <w:r>
            <w:rPr>
              <w:color w:val="FFFFFF" w:themeColor="background1"/>
            </w:rPr>
            <w:t>COSLA, Verity House, 19 Haymarket Yards, Edinburgh, EH12 5BH</w:t>
          </w:r>
        </w:p>
        <w:p w14:paraId="485FA08E" w14:textId="7578B356" w:rsidR="00731180" w:rsidRPr="00D403EA" w:rsidRDefault="00731180" w:rsidP="00F23AB7">
          <w:pPr>
            <w:pStyle w:val="Footer"/>
            <w:jc w:val="right"/>
            <w:rPr>
              <w:color w:val="FFFFFF" w:themeColor="background1"/>
            </w:rPr>
          </w:pPr>
          <w:r>
            <w:rPr>
              <w:color w:val="FFFFFF" w:themeColor="background1"/>
            </w:rPr>
            <w:t>www.cosla.gov.uk</w:t>
          </w:r>
        </w:p>
        <w:p w14:paraId="2EFBA9C0" w14:textId="2E541E0F" w:rsidR="00F23AB7" w:rsidRPr="00731180" w:rsidRDefault="00F23AB7" w:rsidP="00F23AB7">
          <w:pPr>
            <w:pStyle w:val="Footer"/>
            <w:jc w:val="right"/>
            <w:rPr>
              <w:color w:val="FFFFFF" w:themeColor="background1"/>
            </w:rPr>
          </w:pPr>
          <w:r w:rsidRPr="00731180">
            <w:rPr>
              <w:color w:val="FFFFFF" w:themeColor="background1"/>
            </w:rPr>
            <w:t>brexit@cosla.gov.uk</w:t>
          </w:r>
        </w:p>
        <w:p w14:paraId="6D802926" w14:textId="1F425D82" w:rsidR="00F23AB7" w:rsidRDefault="00F23AB7" w:rsidP="00F23AB7">
          <w:pPr>
            <w:pStyle w:val="Footer"/>
            <w:jc w:val="right"/>
          </w:pPr>
          <w:r>
            <w:rPr>
              <w:color w:val="FFFFFF" w:themeColor="background1"/>
            </w:rPr>
            <w:t>0130 474 9285</w:t>
          </w:r>
        </w:p>
      </w:tc>
    </w:tr>
  </w:tbl>
  <w:p w14:paraId="668D9505" w14:textId="77777777" w:rsidR="00F23AB7" w:rsidRDefault="00F23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013EE" w14:textId="77777777" w:rsidR="00181589" w:rsidRDefault="00181589" w:rsidP="00BB0ACC">
      <w:pPr>
        <w:spacing w:after="0" w:line="240" w:lineRule="auto"/>
      </w:pPr>
      <w:r>
        <w:separator/>
      </w:r>
    </w:p>
  </w:footnote>
  <w:footnote w:type="continuationSeparator" w:id="0">
    <w:p w14:paraId="05091EC5" w14:textId="77777777" w:rsidR="00181589" w:rsidRDefault="00181589" w:rsidP="00BB0ACC">
      <w:pPr>
        <w:spacing w:after="0" w:line="240" w:lineRule="auto"/>
      </w:pPr>
      <w:r>
        <w:continuationSeparator/>
      </w:r>
    </w:p>
  </w:footnote>
  <w:footnote w:type="continuationNotice" w:id="1">
    <w:p w14:paraId="509C89FC" w14:textId="77777777" w:rsidR="00181589" w:rsidRDefault="001815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E7436"/>
    <w:multiLevelType w:val="hybridMultilevel"/>
    <w:tmpl w:val="1BD88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21667F"/>
    <w:multiLevelType w:val="hybridMultilevel"/>
    <w:tmpl w:val="ADF889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119DF"/>
    <w:multiLevelType w:val="hybridMultilevel"/>
    <w:tmpl w:val="476EA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C00389"/>
    <w:multiLevelType w:val="hybridMultilevel"/>
    <w:tmpl w:val="7D406B76"/>
    <w:lvl w:ilvl="0" w:tplc="08090005">
      <w:start w:val="1"/>
      <w:numFmt w:val="bullet"/>
      <w:lvlText w:val=""/>
      <w:lvlJc w:val="left"/>
      <w:pPr>
        <w:ind w:left="1324" w:hanging="360"/>
      </w:pPr>
      <w:rPr>
        <w:rFonts w:ascii="Wingdings" w:hAnsi="Wingdings" w:hint="default"/>
      </w:rPr>
    </w:lvl>
    <w:lvl w:ilvl="1" w:tplc="08090003" w:tentative="1">
      <w:start w:val="1"/>
      <w:numFmt w:val="bullet"/>
      <w:lvlText w:val="o"/>
      <w:lvlJc w:val="left"/>
      <w:pPr>
        <w:ind w:left="2044" w:hanging="360"/>
      </w:pPr>
      <w:rPr>
        <w:rFonts w:ascii="Courier New" w:hAnsi="Courier New" w:cs="Courier New" w:hint="default"/>
      </w:rPr>
    </w:lvl>
    <w:lvl w:ilvl="2" w:tplc="08090005" w:tentative="1">
      <w:start w:val="1"/>
      <w:numFmt w:val="bullet"/>
      <w:lvlText w:val=""/>
      <w:lvlJc w:val="left"/>
      <w:pPr>
        <w:ind w:left="2764" w:hanging="360"/>
      </w:pPr>
      <w:rPr>
        <w:rFonts w:ascii="Wingdings" w:hAnsi="Wingdings" w:hint="default"/>
      </w:rPr>
    </w:lvl>
    <w:lvl w:ilvl="3" w:tplc="08090001" w:tentative="1">
      <w:start w:val="1"/>
      <w:numFmt w:val="bullet"/>
      <w:lvlText w:val=""/>
      <w:lvlJc w:val="left"/>
      <w:pPr>
        <w:ind w:left="3484" w:hanging="360"/>
      </w:pPr>
      <w:rPr>
        <w:rFonts w:ascii="Symbol" w:hAnsi="Symbol" w:hint="default"/>
      </w:rPr>
    </w:lvl>
    <w:lvl w:ilvl="4" w:tplc="08090003" w:tentative="1">
      <w:start w:val="1"/>
      <w:numFmt w:val="bullet"/>
      <w:lvlText w:val="o"/>
      <w:lvlJc w:val="left"/>
      <w:pPr>
        <w:ind w:left="4204" w:hanging="360"/>
      </w:pPr>
      <w:rPr>
        <w:rFonts w:ascii="Courier New" w:hAnsi="Courier New" w:cs="Courier New" w:hint="default"/>
      </w:rPr>
    </w:lvl>
    <w:lvl w:ilvl="5" w:tplc="08090005" w:tentative="1">
      <w:start w:val="1"/>
      <w:numFmt w:val="bullet"/>
      <w:lvlText w:val=""/>
      <w:lvlJc w:val="left"/>
      <w:pPr>
        <w:ind w:left="4924" w:hanging="360"/>
      </w:pPr>
      <w:rPr>
        <w:rFonts w:ascii="Wingdings" w:hAnsi="Wingdings" w:hint="default"/>
      </w:rPr>
    </w:lvl>
    <w:lvl w:ilvl="6" w:tplc="08090001" w:tentative="1">
      <w:start w:val="1"/>
      <w:numFmt w:val="bullet"/>
      <w:lvlText w:val=""/>
      <w:lvlJc w:val="left"/>
      <w:pPr>
        <w:ind w:left="5644" w:hanging="360"/>
      </w:pPr>
      <w:rPr>
        <w:rFonts w:ascii="Symbol" w:hAnsi="Symbol" w:hint="default"/>
      </w:rPr>
    </w:lvl>
    <w:lvl w:ilvl="7" w:tplc="08090003" w:tentative="1">
      <w:start w:val="1"/>
      <w:numFmt w:val="bullet"/>
      <w:lvlText w:val="o"/>
      <w:lvlJc w:val="left"/>
      <w:pPr>
        <w:ind w:left="6364" w:hanging="360"/>
      </w:pPr>
      <w:rPr>
        <w:rFonts w:ascii="Courier New" w:hAnsi="Courier New" w:cs="Courier New" w:hint="default"/>
      </w:rPr>
    </w:lvl>
    <w:lvl w:ilvl="8" w:tplc="08090005" w:tentative="1">
      <w:start w:val="1"/>
      <w:numFmt w:val="bullet"/>
      <w:lvlText w:val=""/>
      <w:lvlJc w:val="left"/>
      <w:pPr>
        <w:ind w:left="7084" w:hanging="360"/>
      </w:pPr>
      <w:rPr>
        <w:rFonts w:ascii="Wingdings" w:hAnsi="Wingdings" w:hint="default"/>
      </w:rPr>
    </w:lvl>
  </w:abstractNum>
  <w:abstractNum w:abstractNumId="4" w15:restartNumberingAfterBreak="0">
    <w:nsid w:val="2AA95CAB"/>
    <w:multiLevelType w:val="multilevel"/>
    <w:tmpl w:val="915AD34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D305240"/>
    <w:multiLevelType w:val="hybridMultilevel"/>
    <w:tmpl w:val="6534F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3C3573"/>
    <w:multiLevelType w:val="hybridMultilevel"/>
    <w:tmpl w:val="7236ED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F84EB5"/>
    <w:multiLevelType w:val="hybridMultilevel"/>
    <w:tmpl w:val="78D85A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AF4FE6"/>
    <w:multiLevelType w:val="hybridMultilevel"/>
    <w:tmpl w:val="E754FE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6F4F40"/>
    <w:multiLevelType w:val="hybridMultilevel"/>
    <w:tmpl w:val="32E02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D50ECB"/>
    <w:multiLevelType w:val="hybridMultilevel"/>
    <w:tmpl w:val="56184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89390F"/>
    <w:multiLevelType w:val="hybridMultilevel"/>
    <w:tmpl w:val="7602A8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530E41"/>
    <w:multiLevelType w:val="hybridMultilevel"/>
    <w:tmpl w:val="045C83E4"/>
    <w:lvl w:ilvl="0" w:tplc="08090005">
      <w:start w:val="1"/>
      <w:numFmt w:val="bullet"/>
      <w:lvlText w:val=""/>
      <w:lvlJc w:val="left"/>
      <w:pPr>
        <w:ind w:left="363" w:hanging="360"/>
      </w:pPr>
      <w:rPr>
        <w:rFonts w:ascii="Wingdings" w:hAnsi="Wingdings"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4D2B1E40"/>
    <w:multiLevelType w:val="hybridMultilevel"/>
    <w:tmpl w:val="6D528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1613AEC"/>
    <w:multiLevelType w:val="hybridMultilevel"/>
    <w:tmpl w:val="7ED2D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B205A7"/>
    <w:multiLevelType w:val="hybridMultilevel"/>
    <w:tmpl w:val="2B98B7BE"/>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345" w:hanging="360"/>
      </w:pPr>
      <w:rPr>
        <w:rFonts w:ascii="Courier New" w:hAnsi="Courier New" w:cs="Courier New" w:hint="default"/>
      </w:rPr>
    </w:lvl>
    <w:lvl w:ilvl="2" w:tplc="08090005" w:tentative="1">
      <w:start w:val="1"/>
      <w:numFmt w:val="bullet"/>
      <w:lvlText w:val=""/>
      <w:lvlJc w:val="left"/>
      <w:pPr>
        <w:ind w:left="375" w:hanging="360"/>
      </w:pPr>
      <w:rPr>
        <w:rFonts w:ascii="Wingdings" w:hAnsi="Wingdings" w:hint="default"/>
      </w:rPr>
    </w:lvl>
    <w:lvl w:ilvl="3" w:tplc="08090001" w:tentative="1">
      <w:start w:val="1"/>
      <w:numFmt w:val="bullet"/>
      <w:lvlText w:val=""/>
      <w:lvlJc w:val="left"/>
      <w:pPr>
        <w:ind w:left="1095" w:hanging="360"/>
      </w:pPr>
      <w:rPr>
        <w:rFonts w:ascii="Symbol" w:hAnsi="Symbol" w:hint="default"/>
      </w:rPr>
    </w:lvl>
    <w:lvl w:ilvl="4" w:tplc="08090003" w:tentative="1">
      <w:start w:val="1"/>
      <w:numFmt w:val="bullet"/>
      <w:lvlText w:val="o"/>
      <w:lvlJc w:val="left"/>
      <w:pPr>
        <w:ind w:left="1815" w:hanging="360"/>
      </w:pPr>
      <w:rPr>
        <w:rFonts w:ascii="Courier New" w:hAnsi="Courier New" w:cs="Courier New" w:hint="default"/>
      </w:rPr>
    </w:lvl>
    <w:lvl w:ilvl="5" w:tplc="08090005" w:tentative="1">
      <w:start w:val="1"/>
      <w:numFmt w:val="bullet"/>
      <w:lvlText w:val=""/>
      <w:lvlJc w:val="left"/>
      <w:pPr>
        <w:ind w:left="2535" w:hanging="360"/>
      </w:pPr>
      <w:rPr>
        <w:rFonts w:ascii="Wingdings" w:hAnsi="Wingdings" w:hint="default"/>
      </w:rPr>
    </w:lvl>
    <w:lvl w:ilvl="6" w:tplc="08090001" w:tentative="1">
      <w:start w:val="1"/>
      <w:numFmt w:val="bullet"/>
      <w:lvlText w:val=""/>
      <w:lvlJc w:val="left"/>
      <w:pPr>
        <w:ind w:left="3255" w:hanging="360"/>
      </w:pPr>
      <w:rPr>
        <w:rFonts w:ascii="Symbol" w:hAnsi="Symbol" w:hint="default"/>
      </w:rPr>
    </w:lvl>
    <w:lvl w:ilvl="7" w:tplc="08090003" w:tentative="1">
      <w:start w:val="1"/>
      <w:numFmt w:val="bullet"/>
      <w:lvlText w:val="o"/>
      <w:lvlJc w:val="left"/>
      <w:pPr>
        <w:ind w:left="3975" w:hanging="360"/>
      </w:pPr>
      <w:rPr>
        <w:rFonts w:ascii="Courier New" w:hAnsi="Courier New" w:cs="Courier New" w:hint="default"/>
      </w:rPr>
    </w:lvl>
    <w:lvl w:ilvl="8" w:tplc="08090005" w:tentative="1">
      <w:start w:val="1"/>
      <w:numFmt w:val="bullet"/>
      <w:lvlText w:val=""/>
      <w:lvlJc w:val="left"/>
      <w:pPr>
        <w:ind w:left="4695" w:hanging="360"/>
      </w:pPr>
      <w:rPr>
        <w:rFonts w:ascii="Wingdings" w:hAnsi="Wingdings" w:hint="default"/>
      </w:rPr>
    </w:lvl>
  </w:abstractNum>
  <w:abstractNum w:abstractNumId="16" w15:restartNumberingAfterBreak="0">
    <w:nsid w:val="5EB50D95"/>
    <w:multiLevelType w:val="hybridMultilevel"/>
    <w:tmpl w:val="A1CCB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1452CE"/>
    <w:multiLevelType w:val="hybridMultilevel"/>
    <w:tmpl w:val="CC6E3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435A28"/>
    <w:multiLevelType w:val="hybridMultilevel"/>
    <w:tmpl w:val="005659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551720"/>
    <w:multiLevelType w:val="hybridMultilevel"/>
    <w:tmpl w:val="C802813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984B17"/>
    <w:multiLevelType w:val="hybridMultilevel"/>
    <w:tmpl w:val="110693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6802B3"/>
    <w:multiLevelType w:val="hybridMultilevel"/>
    <w:tmpl w:val="743A6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A72788"/>
    <w:multiLevelType w:val="hybridMultilevel"/>
    <w:tmpl w:val="90F46C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2"/>
  </w:num>
  <w:num w:numId="4">
    <w:abstractNumId w:val="11"/>
  </w:num>
  <w:num w:numId="5">
    <w:abstractNumId w:val="22"/>
  </w:num>
  <w:num w:numId="6">
    <w:abstractNumId w:val="7"/>
  </w:num>
  <w:num w:numId="7">
    <w:abstractNumId w:val="8"/>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20"/>
  </w:num>
  <w:num w:numId="13">
    <w:abstractNumId w:val="21"/>
  </w:num>
  <w:num w:numId="14">
    <w:abstractNumId w:val="0"/>
  </w:num>
  <w:num w:numId="15">
    <w:abstractNumId w:val="2"/>
  </w:num>
  <w:num w:numId="16">
    <w:abstractNumId w:val="10"/>
  </w:num>
  <w:num w:numId="17">
    <w:abstractNumId w:val="9"/>
  </w:num>
  <w:num w:numId="18">
    <w:abstractNumId w:val="17"/>
  </w:num>
  <w:num w:numId="19">
    <w:abstractNumId w:val="14"/>
  </w:num>
  <w:num w:numId="20">
    <w:abstractNumId w:val="15"/>
  </w:num>
  <w:num w:numId="21">
    <w:abstractNumId w:val="5"/>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AB6"/>
    <w:rsid w:val="00006506"/>
    <w:rsid w:val="00015ED2"/>
    <w:rsid w:val="000343D7"/>
    <w:rsid w:val="00037DD1"/>
    <w:rsid w:val="0004234F"/>
    <w:rsid w:val="00051052"/>
    <w:rsid w:val="000513D5"/>
    <w:rsid w:val="00051558"/>
    <w:rsid w:val="00061AC9"/>
    <w:rsid w:val="000777BE"/>
    <w:rsid w:val="000855CC"/>
    <w:rsid w:val="000A28A8"/>
    <w:rsid w:val="000A4C08"/>
    <w:rsid w:val="000B0B0D"/>
    <w:rsid w:val="000B5D67"/>
    <w:rsid w:val="000C0CC5"/>
    <w:rsid w:val="000C2D54"/>
    <w:rsid w:val="000C3A3C"/>
    <w:rsid w:val="000D7F81"/>
    <w:rsid w:val="00101071"/>
    <w:rsid w:val="0010654B"/>
    <w:rsid w:val="00123BC2"/>
    <w:rsid w:val="00127A40"/>
    <w:rsid w:val="00132AFD"/>
    <w:rsid w:val="00136BE9"/>
    <w:rsid w:val="001402A2"/>
    <w:rsid w:val="001559FF"/>
    <w:rsid w:val="001678DE"/>
    <w:rsid w:val="0017084B"/>
    <w:rsid w:val="00175730"/>
    <w:rsid w:val="0017691A"/>
    <w:rsid w:val="00181589"/>
    <w:rsid w:val="00183752"/>
    <w:rsid w:val="001A3704"/>
    <w:rsid w:val="001B37D0"/>
    <w:rsid w:val="001B6820"/>
    <w:rsid w:val="001B7BA7"/>
    <w:rsid w:val="001D579A"/>
    <w:rsid w:val="001E6959"/>
    <w:rsid w:val="001F2B6F"/>
    <w:rsid w:val="00203AB6"/>
    <w:rsid w:val="002228E7"/>
    <w:rsid w:val="00222FF2"/>
    <w:rsid w:val="00236E88"/>
    <w:rsid w:val="00251784"/>
    <w:rsid w:val="0025238B"/>
    <w:rsid w:val="00253B57"/>
    <w:rsid w:val="0026667C"/>
    <w:rsid w:val="00276163"/>
    <w:rsid w:val="00277C9B"/>
    <w:rsid w:val="00281D4C"/>
    <w:rsid w:val="0028383C"/>
    <w:rsid w:val="0029598F"/>
    <w:rsid w:val="002A1A0B"/>
    <w:rsid w:val="002B31E0"/>
    <w:rsid w:val="002B64F2"/>
    <w:rsid w:val="002D0D75"/>
    <w:rsid w:val="00300BC7"/>
    <w:rsid w:val="003053B9"/>
    <w:rsid w:val="00310933"/>
    <w:rsid w:val="00344E61"/>
    <w:rsid w:val="00351AEF"/>
    <w:rsid w:val="00353235"/>
    <w:rsid w:val="0035492A"/>
    <w:rsid w:val="00360DCA"/>
    <w:rsid w:val="00375907"/>
    <w:rsid w:val="0037740B"/>
    <w:rsid w:val="003820C4"/>
    <w:rsid w:val="00395D2E"/>
    <w:rsid w:val="003A5456"/>
    <w:rsid w:val="003A75F3"/>
    <w:rsid w:val="003B1376"/>
    <w:rsid w:val="003B3D75"/>
    <w:rsid w:val="003D750E"/>
    <w:rsid w:val="003E1611"/>
    <w:rsid w:val="003E4280"/>
    <w:rsid w:val="003F5054"/>
    <w:rsid w:val="00404792"/>
    <w:rsid w:val="00412D14"/>
    <w:rsid w:val="00416922"/>
    <w:rsid w:val="00417D4B"/>
    <w:rsid w:val="00424A86"/>
    <w:rsid w:val="00435CCE"/>
    <w:rsid w:val="00436BAE"/>
    <w:rsid w:val="00437A20"/>
    <w:rsid w:val="00464004"/>
    <w:rsid w:val="00473E9A"/>
    <w:rsid w:val="00487379"/>
    <w:rsid w:val="004B13F0"/>
    <w:rsid w:val="004B6036"/>
    <w:rsid w:val="004B7EBF"/>
    <w:rsid w:val="004D37DF"/>
    <w:rsid w:val="004F3385"/>
    <w:rsid w:val="00515A54"/>
    <w:rsid w:val="00530599"/>
    <w:rsid w:val="00543687"/>
    <w:rsid w:val="00545F9E"/>
    <w:rsid w:val="005554AF"/>
    <w:rsid w:val="00556596"/>
    <w:rsid w:val="005576EA"/>
    <w:rsid w:val="005608EF"/>
    <w:rsid w:val="0058011B"/>
    <w:rsid w:val="00581EC3"/>
    <w:rsid w:val="005A40C6"/>
    <w:rsid w:val="005B10A2"/>
    <w:rsid w:val="005B4926"/>
    <w:rsid w:val="005D4D64"/>
    <w:rsid w:val="005E10E9"/>
    <w:rsid w:val="005F3D0B"/>
    <w:rsid w:val="00600A0F"/>
    <w:rsid w:val="00624E31"/>
    <w:rsid w:val="0062629E"/>
    <w:rsid w:val="00641CC0"/>
    <w:rsid w:val="00641F06"/>
    <w:rsid w:val="00657C88"/>
    <w:rsid w:val="00673EC6"/>
    <w:rsid w:val="00675D46"/>
    <w:rsid w:val="00683864"/>
    <w:rsid w:val="00690D86"/>
    <w:rsid w:val="00694883"/>
    <w:rsid w:val="00694EB8"/>
    <w:rsid w:val="00697B2D"/>
    <w:rsid w:val="006B1C01"/>
    <w:rsid w:val="006B2930"/>
    <w:rsid w:val="006D18B8"/>
    <w:rsid w:val="006D1919"/>
    <w:rsid w:val="006F6C99"/>
    <w:rsid w:val="00714E40"/>
    <w:rsid w:val="00717646"/>
    <w:rsid w:val="00721A7F"/>
    <w:rsid w:val="00731180"/>
    <w:rsid w:val="00733C62"/>
    <w:rsid w:val="00736693"/>
    <w:rsid w:val="0074245B"/>
    <w:rsid w:val="0075733D"/>
    <w:rsid w:val="00770162"/>
    <w:rsid w:val="00774800"/>
    <w:rsid w:val="00774BD8"/>
    <w:rsid w:val="00775DC0"/>
    <w:rsid w:val="00794883"/>
    <w:rsid w:val="00796BD5"/>
    <w:rsid w:val="007A1778"/>
    <w:rsid w:val="007B224B"/>
    <w:rsid w:val="007B4B25"/>
    <w:rsid w:val="007C21FE"/>
    <w:rsid w:val="007C4591"/>
    <w:rsid w:val="007D1036"/>
    <w:rsid w:val="007D5EAA"/>
    <w:rsid w:val="007D7BD9"/>
    <w:rsid w:val="007E11E6"/>
    <w:rsid w:val="007E7802"/>
    <w:rsid w:val="00801082"/>
    <w:rsid w:val="0081434B"/>
    <w:rsid w:val="00820F2B"/>
    <w:rsid w:val="0084164B"/>
    <w:rsid w:val="00847070"/>
    <w:rsid w:val="0085149A"/>
    <w:rsid w:val="00873329"/>
    <w:rsid w:val="00883A6D"/>
    <w:rsid w:val="008B1255"/>
    <w:rsid w:val="00905C63"/>
    <w:rsid w:val="0090701C"/>
    <w:rsid w:val="0090721B"/>
    <w:rsid w:val="009143C2"/>
    <w:rsid w:val="00924519"/>
    <w:rsid w:val="00931C8A"/>
    <w:rsid w:val="0094795E"/>
    <w:rsid w:val="00956816"/>
    <w:rsid w:val="0097243A"/>
    <w:rsid w:val="00980C4D"/>
    <w:rsid w:val="00993A63"/>
    <w:rsid w:val="009A2148"/>
    <w:rsid w:val="009B7F26"/>
    <w:rsid w:val="009C21B2"/>
    <w:rsid w:val="009F4B3A"/>
    <w:rsid w:val="009F6B19"/>
    <w:rsid w:val="00A05D1D"/>
    <w:rsid w:val="00A17EFA"/>
    <w:rsid w:val="00A2660A"/>
    <w:rsid w:val="00A33FAE"/>
    <w:rsid w:val="00A374E0"/>
    <w:rsid w:val="00A520C8"/>
    <w:rsid w:val="00A538C5"/>
    <w:rsid w:val="00A6130D"/>
    <w:rsid w:val="00A63450"/>
    <w:rsid w:val="00A6658C"/>
    <w:rsid w:val="00A91D99"/>
    <w:rsid w:val="00AB6169"/>
    <w:rsid w:val="00AD003D"/>
    <w:rsid w:val="00AD5121"/>
    <w:rsid w:val="00AD73D2"/>
    <w:rsid w:val="00AD7CD2"/>
    <w:rsid w:val="00AE10F7"/>
    <w:rsid w:val="00AE5511"/>
    <w:rsid w:val="00AE5AB4"/>
    <w:rsid w:val="00AE6C9E"/>
    <w:rsid w:val="00AF2A42"/>
    <w:rsid w:val="00AF4470"/>
    <w:rsid w:val="00B06789"/>
    <w:rsid w:val="00B102B6"/>
    <w:rsid w:val="00B25985"/>
    <w:rsid w:val="00B25DD8"/>
    <w:rsid w:val="00B300A9"/>
    <w:rsid w:val="00B373B2"/>
    <w:rsid w:val="00B40B0E"/>
    <w:rsid w:val="00B413F7"/>
    <w:rsid w:val="00B527E0"/>
    <w:rsid w:val="00B63C37"/>
    <w:rsid w:val="00B776BE"/>
    <w:rsid w:val="00B83F6D"/>
    <w:rsid w:val="00B87123"/>
    <w:rsid w:val="00B95742"/>
    <w:rsid w:val="00BB0ACC"/>
    <w:rsid w:val="00BB30E0"/>
    <w:rsid w:val="00BB7A1C"/>
    <w:rsid w:val="00BD0660"/>
    <w:rsid w:val="00BD297E"/>
    <w:rsid w:val="00BD7262"/>
    <w:rsid w:val="00BE0C21"/>
    <w:rsid w:val="00BE20CC"/>
    <w:rsid w:val="00BE39D7"/>
    <w:rsid w:val="00BE7B5B"/>
    <w:rsid w:val="00C2333D"/>
    <w:rsid w:val="00C414C3"/>
    <w:rsid w:val="00C471F9"/>
    <w:rsid w:val="00C5317D"/>
    <w:rsid w:val="00C626CB"/>
    <w:rsid w:val="00C80650"/>
    <w:rsid w:val="00C90476"/>
    <w:rsid w:val="00C97FCB"/>
    <w:rsid w:val="00CB5C08"/>
    <w:rsid w:val="00CC5DA1"/>
    <w:rsid w:val="00CC62B5"/>
    <w:rsid w:val="00CE4E3B"/>
    <w:rsid w:val="00CE7016"/>
    <w:rsid w:val="00CF4831"/>
    <w:rsid w:val="00D23B37"/>
    <w:rsid w:val="00D403EA"/>
    <w:rsid w:val="00D5064B"/>
    <w:rsid w:val="00D52AE5"/>
    <w:rsid w:val="00D539FE"/>
    <w:rsid w:val="00D726AA"/>
    <w:rsid w:val="00D75A56"/>
    <w:rsid w:val="00D8053C"/>
    <w:rsid w:val="00D80DE0"/>
    <w:rsid w:val="00DA1E93"/>
    <w:rsid w:val="00DB7194"/>
    <w:rsid w:val="00DC1D6C"/>
    <w:rsid w:val="00DE17F9"/>
    <w:rsid w:val="00DE4132"/>
    <w:rsid w:val="00DF316C"/>
    <w:rsid w:val="00DF6BCF"/>
    <w:rsid w:val="00E12094"/>
    <w:rsid w:val="00E356FA"/>
    <w:rsid w:val="00E37BFF"/>
    <w:rsid w:val="00E40721"/>
    <w:rsid w:val="00E43FBD"/>
    <w:rsid w:val="00E4537A"/>
    <w:rsid w:val="00E54BDB"/>
    <w:rsid w:val="00E6362E"/>
    <w:rsid w:val="00E67801"/>
    <w:rsid w:val="00E71A67"/>
    <w:rsid w:val="00E806E1"/>
    <w:rsid w:val="00E9194A"/>
    <w:rsid w:val="00E93F85"/>
    <w:rsid w:val="00E94A47"/>
    <w:rsid w:val="00E955E7"/>
    <w:rsid w:val="00EB7AE1"/>
    <w:rsid w:val="00EC12DC"/>
    <w:rsid w:val="00EC51A7"/>
    <w:rsid w:val="00EC67BD"/>
    <w:rsid w:val="00ED1853"/>
    <w:rsid w:val="00EE10BD"/>
    <w:rsid w:val="00EE302F"/>
    <w:rsid w:val="00EE47E4"/>
    <w:rsid w:val="00F048DA"/>
    <w:rsid w:val="00F23AB7"/>
    <w:rsid w:val="00F36494"/>
    <w:rsid w:val="00F4165D"/>
    <w:rsid w:val="00F477CC"/>
    <w:rsid w:val="00F626B5"/>
    <w:rsid w:val="00F63453"/>
    <w:rsid w:val="00F80CD2"/>
    <w:rsid w:val="00F832D9"/>
    <w:rsid w:val="00F901DA"/>
    <w:rsid w:val="00F976A9"/>
    <w:rsid w:val="00FA016B"/>
    <w:rsid w:val="00FB1744"/>
    <w:rsid w:val="00FB45AD"/>
    <w:rsid w:val="00FC1BB7"/>
    <w:rsid w:val="00FD7636"/>
    <w:rsid w:val="00FF6372"/>
    <w:rsid w:val="0C0A4F0A"/>
    <w:rsid w:val="1205AD54"/>
    <w:rsid w:val="13A9AD74"/>
    <w:rsid w:val="51C29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C074C7"/>
  <w15:chartTrackingRefBased/>
  <w15:docId w15:val="{6BAE3D93-A0F3-4D61-B9B7-55BCB7CE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9598F"/>
    <w:pPr>
      <w:numPr>
        <w:numId w:val="9"/>
      </w:numPr>
      <w:autoSpaceDE w:val="0"/>
      <w:autoSpaceDN w:val="0"/>
      <w:spacing w:after="0" w:line="240" w:lineRule="auto"/>
      <w:outlineLvl w:val="0"/>
    </w:pPr>
    <w:rPr>
      <w:rFonts w:ascii="Arial" w:hAnsi="Arial" w:cs="Arial"/>
      <w:b/>
      <w:bCs/>
      <w:color w:val="000000"/>
      <w:kern w:val="36"/>
      <w:sz w:val="24"/>
      <w:szCs w:val="24"/>
      <w:lang w:eastAsia="en-GB"/>
    </w:rPr>
  </w:style>
  <w:style w:type="paragraph" w:styleId="Heading2">
    <w:name w:val="heading 2"/>
    <w:basedOn w:val="Normal"/>
    <w:link w:val="Heading2Char"/>
    <w:uiPriority w:val="9"/>
    <w:semiHidden/>
    <w:unhideWhenUsed/>
    <w:qFormat/>
    <w:rsid w:val="0029598F"/>
    <w:pPr>
      <w:numPr>
        <w:ilvl w:val="1"/>
        <w:numId w:val="9"/>
      </w:numPr>
      <w:spacing w:after="0" w:line="240" w:lineRule="auto"/>
      <w:jc w:val="both"/>
      <w:outlineLvl w:val="1"/>
    </w:pPr>
    <w:rPr>
      <w:rFonts w:ascii="Arial" w:hAnsi="Arial" w:cs="Arial"/>
      <w:sz w:val="23"/>
      <w:szCs w:val="23"/>
      <w:lang w:eastAsia="en-GB"/>
    </w:rPr>
  </w:style>
  <w:style w:type="paragraph" w:styleId="Heading3">
    <w:name w:val="heading 3"/>
    <w:basedOn w:val="Normal"/>
    <w:link w:val="Heading3Char"/>
    <w:uiPriority w:val="9"/>
    <w:semiHidden/>
    <w:unhideWhenUsed/>
    <w:qFormat/>
    <w:rsid w:val="0029598F"/>
    <w:pPr>
      <w:keepNext/>
      <w:numPr>
        <w:ilvl w:val="2"/>
        <w:numId w:val="9"/>
      </w:numPr>
      <w:spacing w:before="240" w:after="60" w:line="240" w:lineRule="auto"/>
      <w:outlineLvl w:val="2"/>
    </w:pPr>
    <w:rPr>
      <w:rFonts w:ascii="Calibri Light" w:hAnsi="Calibri Light" w:cs="Calibri Light"/>
      <w:b/>
      <w:bCs/>
      <w:sz w:val="26"/>
      <w:szCs w:val="26"/>
      <w:lang w:eastAsia="en-GB"/>
    </w:rPr>
  </w:style>
  <w:style w:type="paragraph" w:styleId="Heading4">
    <w:name w:val="heading 4"/>
    <w:basedOn w:val="Normal"/>
    <w:link w:val="Heading4Char"/>
    <w:uiPriority w:val="9"/>
    <w:semiHidden/>
    <w:unhideWhenUsed/>
    <w:qFormat/>
    <w:rsid w:val="0029598F"/>
    <w:pPr>
      <w:keepNext/>
      <w:numPr>
        <w:ilvl w:val="3"/>
        <w:numId w:val="9"/>
      </w:numPr>
      <w:spacing w:before="240" w:after="60" w:line="240" w:lineRule="auto"/>
      <w:outlineLvl w:val="3"/>
    </w:pPr>
    <w:rPr>
      <w:rFonts w:ascii="Calibri" w:hAnsi="Calibri" w:cs="Calibri"/>
      <w:b/>
      <w:bCs/>
      <w:sz w:val="28"/>
      <w:szCs w:val="28"/>
      <w:lang w:eastAsia="en-GB"/>
    </w:rPr>
  </w:style>
  <w:style w:type="paragraph" w:styleId="Heading5">
    <w:name w:val="heading 5"/>
    <w:basedOn w:val="Normal"/>
    <w:link w:val="Heading5Char"/>
    <w:uiPriority w:val="9"/>
    <w:semiHidden/>
    <w:unhideWhenUsed/>
    <w:qFormat/>
    <w:rsid w:val="0029598F"/>
    <w:pPr>
      <w:numPr>
        <w:ilvl w:val="4"/>
        <w:numId w:val="9"/>
      </w:numPr>
      <w:spacing w:before="240" w:after="60" w:line="240" w:lineRule="auto"/>
      <w:outlineLvl w:val="4"/>
    </w:pPr>
    <w:rPr>
      <w:rFonts w:ascii="Calibri" w:hAnsi="Calibri" w:cs="Calibri"/>
      <w:b/>
      <w:bCs/>
      <w:i/>
      <w:iCs/>
      <w:sz w:val="26"/>
      <w:szCs w:val="26"/>
      <w:lang w:eastAsia="en-GB"/>
    </w:rPr>
  </w:style>
  <w:style w:type="paragraph" w:styleId="Heading6">
    <w:name w:val="heading 6"/>
    <w:basedOn w:val="Normal"/>
    <w:link w:val="Heading6Char"/>
    <w:uiPriority w:val="9"/>
    <w:semiHidden/>
    <w:unhideWhenUsed/>
    <w:qFormat/>
    <w:rsid w:val="0029598F"/>
    <w:pPr>
      <w:numPr>
        <w:ilvl w:val="5"/>
        <w:numId w:val="9"/>
      </w:numPr>
      <w:spacing w:before="240" w:after="60" w:line="240" w:lineRule="auto"/>
      <w:outlineLvl w:val="5"/>
    </w:pPr>
    <w:rPr>
      <w:rFonts w:ascii="Calibri" w:hAnsi="Calibri" w:cs="Calibri"/>
      <w:b/>
      <w:bCs/>
      <w:lang w:eastAsia="en-GB"/>
    </w:rPr>
  </w:style>
  <w:style w:type="paragraph" w:styleId="Heading7">
    <w:name w:val="heading 7"/>
    <w:basedOn w:val="Normal"/>
    <w:link w:val="Heading7Char"/>
    <w:uiPriority w:val="9"/>
    <w:semiHidden/>
    <w:unhideWhenUsed/>
    <w:qFormat/>
    <w:rsid w:val="0029598F"/>
    <w:pPr>
      <w:numPr>
        <w:ilvl w:val="6"/>
        <w:numId w:val="9"/>
      </w:numPr>
      <w:spacing w:before="240" w:after="60" w:line="240" w:lineRule="auto"/>
      <w:outlineLvl w:val="6"/>
    </w:pPr>
    <w:rPr>
      <w:rFonts w:ascii="Calibri" w:hAnsi="Calibri" w:cs="Calibri"/>
      <w:sz w:val="24"/>
      <w:szCs w:val="24"/>
      <w:lang w:eastAsia="en-GB"/>
    </w:rPr>
  </w:style>
  <w:style w:type="paragraph" w:styleId="Heading8">
    <w:name w:val="heading 8"/>
    <w:basedOn w:val="Normal"/>
    <w:link w:val="Heading8Char"/>
    <w:uiPriority w:val="9"/>
    <w:semiHidden/>
    <w:unhideWhenUsed/>
    <w:qFormat/>
    <w:rsid w:val="0029598F"/>
    <w:pPr>
      <w:numPr>
        <w:ilvl w:val="7"/>
        <w:numId w:val="9"/>
      </w:numPr>
      <w:spacing w:before="240" w:after="60" w:line="240" w:lineRule="auto"/>
      <w:outlineLvl w:val="7"/>
    </w:pPr>
    <w:rPr>
      <w:rFonts w:ascii="Calibri" w:hAnsi="Calibri" w:cs="Calibri"/>
      <w:i/>
      <w:iCs/>
      <w:sz w:val="24"/>
      <w:szCs w:val="24"/>
      <w:lang w:eastAsia="en-GB"/>
    </w:rPr>
  </w:style>
  <w:style w:type="paragraph" w:styleId="Heading9">
    <w:name w:val="heading 9"/>
    <w:basedOn w:val="Normal"/>
    <w:link w:val="Heading9Char"/>
    <w:uiPriority w:val="9"/>
    <w:semiHidden/>
    <w:unhideWhenUsed/>
    <w:qFormat/>
    <w:rsid w:val="0029598F"/>
    <w:pPr>
      <w:numPr>
        <w:ilvl w:val="8"/>
        <w:numId w:val="9"/>
      </w:numPr>
      <w:spacing w:before="240" w:after="60" w:line="240" w:lineRule="auto"/>
      <w:outlineLvl w:val="8"/>
    </w:pPr>
    <w:rPr>
      <w:rFonts w:ascii="Calibri Light" w:hAnsi="Calibri Light" w:cs="Calibri Light"/>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AB6"/>
    <w:pPr>
      <w:ind w:left="720"/>
      <w:contextualSpacing/>
    </w:pPr>
  </w:style>
  <w:style w:type="character" w:customStyle="1" w:styleId="Heading1Char">
    <w:name w:val="Heading 1 Char"/>
    <w:basedOn w:val="DefaultParagraphFont"/>
    <w:link w:val="Heading1"/>
    <w:uiPriority w:val="9"/>
    <w:rsid w:val="0029598F"/>
    <w:rPr>
      <w:rFonts w:ascii="Arial" w:hAnsi="Arial" w:cs="Arial"/>
      <w:b/>
      <w:bCs/>
      <w:color w:val="000000"/>
      <w:kern w:val="36"/>
      <w:sz w:val="24"/>
      <w:szCs w:val="24"/>
      <w:lang w:eastAsia="en-GB"/>
    </w:rPr>
  </w:style>
  <w:style w:type="character" w:customStyle="1" w:styleId="Heading2Char">
    <w:name w:val="Heading 2 Char"/>
    <w:basedOn w:val="DefaultParagraphFont"/>
    <w:link w:val="Heading2"/>
    <w:uiPriority w:val="9"/>
    <w:semiHidden/>
    <w:rsid w:val="0029598F"/>
    <w:rPr>
      <w:rFonts w:ascii="Arial" w:hAnsi="Arial" w:cs="Arial"/>
      <w:sz w:val="23"/>
      <w:szCs w:val="23"/>
      <w:lang w:eastAsia="en-GB"/>
    </w:rPr>
  </w:style>
  <w:style w:type="character" w:customStyle="1" w:styleId="Heading3Char">
    <w:name w:val="Heading 3 Char"/>
    <w:basedOn w:val="DefaultParagraphFont"/>
    <w:link w:val="Heading3"/>
    <w:uiPriority w:val="9"/>
    <w:semiHidden/>
    <w:rsid w:val="0029598F"/>
    <w:rPr>
      <w:rFonts w:ascii="Calibri Light" w:hAnsi="Calibri Light" w:cs="Calibri Light"/>
      <w:b/>
      <w:bCs/>
      <w:sz w:val="26"/>
      <w:szCs w:val="26"/>
      <w:lang w:eastAsia="en-GB"/>
    </w:rPr>
  </w:style>
  <w:style w:type="character" w:customStyle="1" w:styleId="Heading4Char">
    <w:name w:val="Heading 4 Char"/>
    <w:basedOn w:val="DefaultParagraphFont"/>
    <w:link w:val="Heading4"/>
    <w:uiPriority w:val="9"/>
    <w:semiHidden/>
    <w:rsid w:val="0029598F"/>
    <w:rPr>
      <w:rFonts w:ascii="Calibri" w:hAnsi="Calibri" w:cs="Calibri"/>
      <w:b/>
      <w:bCs/>
      <w:sz w:val="28"/>
      <w:szCs w:val="28"/>
      <w:lang w:eastAsia="en-GB"/>
    </w:rPr>
  </w:style>
  <w:style w:type="character" w:customStyle="1" w:styleId="Heading5Char">
    <w:name w:val="Heading 5 Char"/>
    <w:basedOn w:val="DefaultParagraphFont"/>
    <w:link w:val="Heading5"/>
    <w:uiPriority w:val="9"/>
    <w:semiHidden/>
    <w:rsid w:val="0029598F"/>
    <w:rPr>
      <w:rFonts w:ascii="Calibri" w:hAnsi="Calibri" w:cs="Calibri"/>
      <w:b/>
      <w:bCs/>
      <w:i/>
      <w:iCs/>
      <w:sz w:val="26"/>
      <w:szCs w:val="26"/>
      <w:lang w:eastAsia="en-GB"/>
    </w:rPr>
  </w:style>
  <w:style w:type="character" w:customStyle="1" w:styleId="Heading6Char">
    <w:name w:val="Heading 6 Char"/>
    <w:basedOn w:val="DefaultParagraphFont"/>
    <w:link w:val="Heading6"/>
    <w:uiPriority w:val="9"/>
    <w:semiHidden/>
    <w:rsid w:val="0029598F"/>
    <w:rPr>
      <w:rFonts w:ascii="Calibri" w:hAnsi="Calibri" w:cs="Calibri"/>
      <w:b/>
      <w:bCs/>
      <w:lang w:eastAsia="en-GB"/>
    </w:rPr>
  </w:style>
  <w:style w:type="character" w:customStyle="1" w:styleId="Heading7Char">
    <w:name w:val="Heading 7 Char"/>
    <w:basedOn w:val="DefaultParagraphFont"/>
    <w:link w:val="Heading7"/>
    <w:uiPriority w:val="9"/>
    <w:semiHidden/>
    <w:rsid w:val="0029598F"/>
    <w:rPr>
      <w:rFonts w:ascii="Calibri" w:hAnsi="Calibri" w:cs="Calibri"/>
      <w:sz w:val="24"/>
      <w:szCs w:val="24"/>
      <w:lang w:eastAsia="en-GB"/>
    </w:rPr>
  </w:style>
  <w:style w:type="character" w:customStyle="1" w:styleId="Heading8Char">
    <w:name w:val="Heading 8 Char"/>
    <w:basedOn w:val="DefaultParagraphFont"/>
    <w:link w:val="Heading8"/>
    <w:uiPriority w:val="9"/>
    <w:semiHidden/>
    <w:rsid w:val="0029598F"/>
    <w:rPr>
      <w:rFonts w:ascii="Calibri" w:hAnsi="Calibri" w:cs="Calibri"/>
      <w:i/>
      <w:iCs/>
      <w:sz w:val="24"/>
      <w:szCs w:val="24"/>
      <w:lang w:eastAsia="en-GB"/>
    </w:rPr>
  </w:style>
  <w:style w:type="character" w:customStyle="1" w:styleId="Heading9Char">
    <w:name w:val="Heading 9 Char"/>
    <w:basedOn w:val="DefaultParagraphFont"/>
    <w:link w:val="Heading9"/>
    <w:uiPriority w:val="9"/>
    <w:semiHidden/>
    <w:rsid w:val="0029598F"/>
    <w:rPr>
      <w:rFonts w:ascii="Calibri Light" w:hAnsi="Calibri Light" w:cs="Calibri Light"/>
      <w:lang w:eastAsia="en-GB"/>
    </w:rPr>
  </w:style>
  <w:style w:type="character" w:customStyle="1" w:styleId="st">
    <w:name w:val="st"/>
    <w:basedOn w:val="DefaultParagraphFont"/>
    <w:rsid w:val="00C471F9"/>
  </w:style>
  <w:style w:type="character" w:styleId="Emphasis">
    <w:name w:val="Emphasis"/>
    <w:basedOn w:val="DefaultParagraphFont"/>
    <w:uiPriority w:val="20"/>
    <w:qFormat/>
    <w:rsid w:val="00C471F9"/>
    <w:rPr>
      <w:i/>
      <w:iCs/>
    </w:rPr>
  </w:style>
  <w:style w:type="paragraph" w:styleId="BalloonText">
    <w:name w:val="Balloon Text"/>
    <w:basedOn w:val="Normal"/>
    <w:link w:val="BalloonTextChar"/>
    <w:uiPriority w:val="99"/>
    <w:semiHidden/>
    <w:unhideWhenUsed/>
    <w:rsid w:val="001F2B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B6F"/>
    <w:rPr>
      <w:rFonts w:ascii="Segoe UI" w:hAnsi="Segoe UI" w:cs="Segoe UI"/>
      <w:sz w:val="18"/>
      <w:szCs w:val="18"/>
    </w:rPr>
  </w:style>
  <w:style w:type="character" w:styleId="CommentReference">
    <w:name w:val="annotation reference"/>
    <w:basedOn w:val="DefaultParagraphFont"/>
    <w:uiPriority w:val="99"/>
    <w:semiHidden/>
    <w:unhideWhenUsed/>
    <w:rsid w:val="007C4591"/>
    <w:rPr>
      <w:sz w:val="16"/>
      <w:szCs w:val="16"/>
    </w:rPr>
  </w:style>
  <w:style w:type="paragraph" w:styleId="CommentText">
    <w:name w:val="annotation text"/>
    <w:basedOn w:val="Normal"/>
    <w:link w:val="CommentTextChar"/>
    <w:uiPriority w:val="99"/>
    <w:semiHidden/>
    <w:unhideWhenUsed/>
    <w:rsid w:val="007C4591"/>
    <w:pPr>
      <w:spacing w:line="240" w:lineRule="auto"/>
    </w:pPr>
    <w:rPr>
      <w:sz w:val="20"/>
      <w:szCs w:val="20"/>
    </w:rPr>
  </w:style>
  <w:style w:type="character" w:customStyle="1" w:styleId="CommentTextChar">
    <w:name w:val="Comment Text Char"/>
    <w:basedOn w:val="DefaultParagraphFont"/>
    <w:link w:val="CommentText"/>
    <w:uiPriority w:val="99"/>
    <w:semiHidden/>
    <w:rsid w:val="007C4591"/>
    <w:rPr>
      <w:sz w:val="20"/>
      <w:szCs w:val="20"/>
    </w:rPr>
  </w:style>
  <w:style w:type="paragraph" w:styleId="CommentSubject">
    <w:name w:val="annotation subject"/>
    <w:basedOn w:val="CommentText"/>
    <w:next w:val="CommentText"/>
    <w:link w:val="CommentSubjectChar"/>
    <w:uiPriority w:val="99"/>
    <w:semiHidden/>
    <w:unhideWhenUsed/>
    <w:rsid w:val="007C4591"/>
    <w:rPr>
      <w:b/>
      <w:bCs/>
    </w:rPr>
  </w:style>
  <w:style w:type="character" w:customStyle="1" w:styleId="CommentSubjectChar">
    <w:name w:val="Comment Subject Char"/>
    <w:basedOn w:val="CommentTextChar"/>
    <w:link w:val="CommentSubject"/>
    <w:uiPriority w:val="99"/>
    <w:semiHidden/>
    <w:rsid w:val="007C4591"/>
    <w:rPr>
      <w:b/>
      <w:bCs/>
      <w:sz w:val="20"/>
      <w:szCs w:val="20"/>
    </w:rPr>
  </w:style>
  <w:style w:type="paragraph" w:styleId="Revision">
    <w:name w:val="Revision"/>
    <w:hidden/>
    <w:uiPriority w:val="99"/>
    <w:semiHidden/>
    <w:rsid w:val="007C4591"/>
    <w:pPr>
      <w:spacing w:after="0" w:line="240" w:lineRule="auto"/>
    </w:pPr>
  </w:style>
  <w:style w:type="table" w:styleId="TableGrid">
    <w:name w:val="Table Grid"/>
    <w:basedOn w:val="TableNormal"/>
    <w:uiPriority w:val="39"/>
    <w:rsid w:val="00051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0A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ACC"/>
  </w:style>
  <w:style w:type="paragraph" w:styleId="Footer">
    <w:name w:val="footer"/>
    <w:basedOn w:val="Normal"/>
    <w:link w:val="FooterChar"/>
    <w:uiPriority w:val="99"/>
    <w:unhideWhenUsed/>
    <w:rsid w:val="00BB0A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ACC"/>
  </w:style>
  <w:style w:type="character" w:styleId="Hyperlink">
    <w:name w:val="Hyperlink"/>
    <w:basedOn w:val="DefaultParagraphFont"/>
    <w:uiPriority w:val="99"/>
    <w:unhideWhenUsed/>
    <w:rsid w:val="00E356FA"/>
    <w:rPr>
      <w:color w:val="0563C1" w:themeColor="hyperlink"/>
      <w:u w:val="single"/>
    </w:rPr>
  </w:style>
  <w:style w:type="character" w:styleId="UnresolvedMention">
    <w:name w:val="Unresolved Mention"/>
    <w:basedOn w:val="DefaultParagraphFont"/>
    <w:uiPriority w:val="99"/>
    <w:semiHidden/>
    <w:unhideWhenUsed/>
    <w:rsid w:val="00E356FA"/>
    <w:rPr>
      <w:color w:val="808080"/>
      <w:shd w:val="clear" w:color="auto" w:fill="E6E6E6"/>
    </w:rPr>
  </w:style>
  <w:style w:type="paragraph" w:styleId="FootnoteText">
    <w:name w:val="footnote text"/>
    <w:basedOn w:val="Normal"/>
    <w:link w:val="FootnoteTextChar"/>
    <w:uiPriority w:val="99"/>
    <w:semiHidden/>
    <w:unhideWhenUsed/>
    <w:rsid w:val="000D7F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7F81"/>
    <w:rPr>
      <w:sz w:val="20"/>
      <w:szCs w:val="20"/>
    </w:rPr>
  </w:style>
  <w:style w:type="character" w:styleId="FootnoteReference">
    <w:name w:val="footnote reference"/>
    <w:basedOn w:val="DefaultParagraphFont"/>
    <w:uiPriority w:val="99"/>
    <w:semiHidden/>
    <w:unhideWhenUsed/>
    <w:rsid w:val="000D7F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62852">
      <w:bodyDiv w:val="1"/>
      <w:marLeft w:val="0"/>
      <w:marRight w:val="0"/>
      <w:marTop w:val="0"/>
      <w:marBottom w:val="0"/>
      <w:divBdr>
        <w:top w:val="none" w:sz="0" w:space="0" w:color="auto"/>
        <w:left w:val="none" w:sz="0" w:space="0" w:color="auto"/>
        <w:bottom w:val="none" w:sz="0" w:space="0" w:color="auto"/>
        <w:right w:val="none" w:sz="0" w:space="0" w:color="auto"/>
      </w:divBdr>
    </w:div>
    <w:div w:id="533006796">
      <w:bodyDiv w:val="1"/>
      <w:marLeft w:val="0"/>
      <w:marRight w:val="0"/>
      <w:marTop w:val="0"/>
      <w:marBottom w:val="0"/>
      <w:divBdr>
        <w:top w:val="none" w:sz="0" w:space="0" w:color="auto"/>
        <w:left w:val="none" w:sz="0" w:space="0" w:color="auto"/>
        <w:bottom w:val="none" w:sz="0" w:space="0" w:color="auto"/>
        <w:right w:val="none" w:sz="0" w:space="0" w:color="auto"/>
      </w:divBdr>
    </w:div>
    <w:div w:id="630790133">
      <w:bodyDiv w:val="1"/>
      <w:marLeft w:val="0"/>
      <w:marRight w:val="0"/>
      <w:marTop w:val="0"/>
      <w:marBottom w:val="0"/>
      <w:divBdr>
        <w:top w:val="none" w:sz="0" w:space="0" w:color="auto"/>
        <w:left w:val="none" w:sz="0" w:space="0" w:color="auto"/>
        <w:bottom w:val="none" w:sz="0" w:space="0" w:color="auto"/>
        <w:right w:val="none" w:sz="0" w:space="0" w:color="auto"/>
      </w:divBdr>
    </w:div>
    <w:div w:id="708997037">
      <w:bodyDiv w:val="1"/>
      <w:marLeft w:val="0"/>
      <w:marRight w:val="0"/>
      <w:marTop w:val="0"/>
      <w:marBottom w:val="0"/>
      <w:divBdr>
        <w:top w:val="none" w:sz="0" w:space="0" w:color="auto"/>
        <w:left w:val="none" w:sz="0" w:space="0" w:color="auto"/>
        <w:bottom w:val="none" w:sz="0" w:space="0" w:color="auto"/>
        <w:right w:val="none" w:sz="0" w:space="0" w:color="auto"/>
      </w:divBdr>
    </w:div>
    <w:div w:id="1084914149">
      <w:bodyDiv w:val="1"/>
      <w:marLeft w:val="0"/>
      <w:marRight w:val="0"/>
      <w:marTop w:val="0"/>
      <w:marBottom w:val="0"/>
      <w:divBdr>
        <w:top w:val="none" w:sz="0" w:space="0" w:color="auto"/>
        <w:left w:val="none" w:sz="0" w:space="0" w:color="auto"/>
        <w:bottom w:val="none" w:sz="0" w:space="0" w:color="auto"/>
        <w:right w:val="none" w:sz="0" w:space="0" w:color="auto"/>
      </w:divBdr>
    </w:div>
    <w:div w:id="1597787714">
      <w:bodyDiv w:val="1"/>
      <w:marLeft w:val="0"/>
      <w:marRight w:val="0"/>
      <w:marTop w:val="0"/>
      <w:marBottom w:val="0"/>
      <w:divBdr>
        <w:top w:val="none" w:sz="0" w:space="0" w:color="auto"/>
        <w:left w:val="none" w:sz="0" w:space="0" w:color="auto"/>
        <w:bottom w:val="none" w:sz="0" w:space="0" w:color="auto"/>
        <w:right w:val="none" w:sz="0" w:space="0" w:color="auto"/>
      </w:divBdr>
      <w:divsChild>
        <w:div w:id="997341394">
          <w:marLeft w:val="0"/>
          <w:marRight w:val="0"/>
          <w:marTop w:val="0"/>
          <w:marBottom w:val="0"/>
          <w:divBdr>
            <w:top w:val="none" w:sz="0" w:space="0" w:color="auto"/>
            <w:left w:val="none" w:sz="0" w:space="0" w:color="auto"/>
            <w:bottom w:val="none" w:sz="0" w:space="0" w:color="auto"/>
            <w:right w:val="none" w:sz="0" w:space="0" w:color="auto"/>
          </w:divBdr>
        </w:div>
        <w:div w:id="2049603336">
          <w:marLeft w:val="0"/>
          <w:marRight w:val="0"/>
          <w:marTop w:val="0"/>
          <w:marBottom w:val="0"/>
          <w:divBdr>
            <w:top w:val="none" w:sz="0" w:space="0" w:color="auto"/>
            <w:left w:val="none" w:sz="0" w:space="0" w:color="auto"/>
            <w:bottom w:val="none" w:sz="0" w:space="0" w:color="auto"/>
            <w:right w:val="none" w:sz="0" w:space="0" w:color="auto"/>
          </w:divBdr>
        </w:div>
        <w:div w:id="722172130">
          <w:marLeft w:val="0"/>
          <w:marRight w:val="0"/>
          <w:marTop w:val="0"/>
          <w:marBottom w:val="0"/>
          <w:divBdr>
            <w:top w:val="none" w:sz="0" w:space="0" w:color="auto"/>
            <w:left w:val="none" w:sz="0" w:space="0" w:color="auto"/>
            <w:bottom w:val="none" w:sz="0" w:space="0" w:color="auto"/>
            <w:right w:val="none" w:sz="0" w:space="0" w:color="auto"/>
          </w:divBdr>
        </w:div>
        <w:div w:id="584220213">
          <w:marLeft w:val="0"/>
          <w:marRight w:val="0"/>
          <w:marTop w:val="0"/>
          <w:marBottom w:val="0"/>
          <w:divBdr>
            <w:top w:val="none" w:sz="0" w:space="0" w:color="auto"/>
            <w:left w:val="none" w:sz="0" w:space="0" w:color="auto"/>
            <w:bottom w:val="none" w:sz="0" w:space="0" w:color="auto"/>
            <w:right w:val="none" w:sz="0" w:space="0" w:color="auto"/>
          </w:divBdr>
        </w:div>
        <w:div w:id="1575625915">
          <w:marLeft w:val="0"/>
          <w:marRight w:val="0"/>
          <w:marTop w:val="0"/>
          <w:marBottom w:val="0"/>
          <w:divBdr>
            <w:top w:val="none" w:sz="0" w:space="0" w:color="auto"/>
            <w:left w:val="none" w:sz="0" w:space="0" w:color="auto"/>
            <w:bottom w:val="none" w:sz="0" w:space="0" w:color="auto"/>
            <w:right w:val="none" w:sz="0" w:space="0" w:color="auto"/>
          </w:divBdr>
        </w:div>
        <w:div w:id="525681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3635CDC4-FD21-4C57-8055-4D19BD057FDF" xsi:nil="true"/>
    <Document_x0020_TYpe xmlns="3635CDC4-FD21-4C57-8055-4D19BD057FDF">General Document</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18DBFBAA176044942A701323A128C4" ma:contentTypeVersion="" ma:contentTypeDescription="Create a new document." ma:contentTypeScope="" ma:versionID="181cd54819f159efeabd95d42b4b5be8">
  <xsd:schema xmlns:xsd="http://www.w3.org/2001/XMLSchema" xmlns:xs="http://www.w3.org/2001/XMLSchema" xmlns:p="http://schemas.microsoft.com/office/2006/metadata/properties" xmlns:ns2="3635CDC4-FD21-4C57-8055-4D19BD057FDF" xmlns:ns3="ed5a4896-2da6-4469-a7e1-3f6eab57a1f0" xmlns:ns4="1e34b2d2-d5b0-4445-98c9-e1afca469b06" targetNamespace="http://schemas.microsoft.com/office/2006/metadata/properties" ma:root="true" ma:fieldsID="5cfb0434acca3f44a92743f3386b519e" ns2:_="" ns3:_="" ns4:_="">
    <xsd:import namespace="3635CDC4-FD21-4C57-8055-4D19BD057FDF"/>
    <xsd:import namespace="ed5a4896-2da6-4469-a7e1-3f6eab57a1f0"/>
    <xsd:import namespace="1e34b2d2-d5b0-4445-98c9-e1afca469b06"/>
    <xsd:element name="properties">
      <xsd:complexType>
        <xsd:sequence>
          <xsd:element name="documentManagement">
            <xsd:complexType>
              <xsd:all>
                <xsd:element ref="ns2:Owner" minOccurs="0"/>
                <xsd:element ref="ns2:Document_x0020_TYpe"/>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5CDC4-FD21-4C57-8055-4D19BD057FDF"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34b2d2-d5b0-4445-98c9-e1afca469b0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2CD48-E81C-4BAC-9740-6A1C61603D84}">
  <ds:schemaRefs>
    <ds:schemaRef ds:uri="http://schemas.microsoft.com/office/2006/metadata/properties"/>
    <ds:schemaRef ds:uri="http://purl.org/dc/elements/1.1/"/>
    <ds:schemaRef ds:uri="http://schemas.openxmlformats.org/package/2006/metadata/core-properties"/>
    <ds:schemaRef ds:uri="http://purl.org/dc/terms/"/>
    <ds:schemaRef ds:uri="ed5a4896-2da6-4469-a7e1-3f6eab57a1f0"/>
    <ds:schemaRef ds:uri="1e34b2d2-d5b0-4445-98c9-e1afca469b06"/>
    <ds:schemaRef ds:uri="http://schemas.microsoft.com/office/2006/documentManagement/types"/>
    <ds:schemaRef ds:uri="http://schemas.microsoft.com/office/infopath/2007/PartnerControls"/>
    <ds:schemaRef ds:uri="3635CDC4-FD21-4C57-8055-4D19BD057FDF"/>
    <ds:schemaRef ds:uri="http://www.w3.org/XML/1998/namespace"/>
    <ds:schemaRef ds:uri="http://purl.org/dc/dcmitype/"/>
  </ds:schemaRefs>
</ds:datastoreItem>
</file>

<file path=customXml/itemProps2.xml><?xml version="1.0" encoding="utf-8"?>
<ds:datastoreItem xmlns:ds="http://schemas.openxmlformats.org/officeDocument/2006/customXml" ds:itemID="{3768F7EB-BB45-427A-B969-D750067DE46D}">
  <ds:schemaRefs>
    <ds:schemaRef ds:uri="http://schemas.microsoft.com/sharepoint/v3/contenttype/forms"/>
  </ds:schemaRefs>
</ds:datastoreItem>
</file>

<file path=customXml/itemProps3.xml><?xml version="1.0" encoding="utf-8"?>
<ds:datastoreItem xmlns:ds="http://schemas.openxmlformats.org/officeDocument/2006/customXml" ds:itemID="{115B5208-B9B7-4538-9D9D-079E8BA5F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5CDC4-FD21-4C57-8055-4D19BD057FDF"/>
    <ds:schemaRef ds:uri="ed5a4896-2da6-4469-a7e1-3f6eab57a1f0"/>
    <ds:schemaRef ds:uri="1e34b2d2-d5b0-4445-98c9-e1afca469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C52666-8885-46DC-A1AE-698AB682B201}">
  <ds:schemaRefs>
    <ds:schemaRef ds:uri="http://schemas.microsoft.com/office/2006/metadata/customXsn"/>
  </ds:schemaRefs>
</ds:datastoreItem>
</file>

<file path=customXml/itemProps5.xml><?xml version="1.0" encoding="utf-8"?>
<ds:datastoreItem xmlns:ds="http://schemas.openxmlformats.org/officeDocument/2006/customXml" ds:itemID="{2242F919-4912-4F80-974C-F282761F1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2532</Words>
  <Characters>14433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Garrick Smyth</dc:creator>
  <cp:keywords/>
  <dc:description/>
  <cp:lastModifiedBy>Cameron Heenan</cp:lastModifiedBy>
  <cp:revision>2</cp:revision>
  <cp:lastPrinted>2018-11-19T13:14:00Z</cp:lastPrinted>
  <dcterms:created xsi:type="dcterms:W3CDTF">2018-11-23T14:16:00Z</dcterms:created>
  <dcterms:modified xsi:type="dcterms:W3CDTF">2018-11-23T14:16:00Z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0x010100FF18DBFBAA176044942A701323A128C4</vt:lpwstr>
  </property>
</Properties>
</file>